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2CD7" w:rsidRPr="00CD6797" w:rsidRDefault="007C2CD7" w:rsidP="0091422F">
      <w:pPr>
        <w:jc w:val="center"/>
        <w:rPr>
          <w:rFonts w:eastAsia="Times New Roman"/>
        </w:rPr>
      </w:pPr>
      <w:bookmarkStart w:id="0" w:name="_Toc21012351"/>
      <w:bookmarkStart w:id="1" w:name="_Toc21073570"/>
      <w:r w:rsidRPr="0091422F">
        <w:rPr>
          <w:rFonts w:eastAsia="Times New Roman"/>
          <w:b/>
          <w:noProof/>
        </w:rPr>
        <w:drawing>
          <wp:anchor distT="0" distB="0" distL="114300" distR="114300" simplePos="0" relativeHeight="251659264" behindDoc="1" locked="0" layoutInCell="1" allowOverlap="1">
            <wp:simplePos x="0" y="0"/>
            <wp:positionH relativeFrom="column">
              <wp:posOffset>1160063</wp:posOffset>
            </wp:positionH>
            <wp:positionV relativeFrom="paragraph">
              <wp:posOffset>3977</wp:posOffset>
            </wp:positionV>
            <wp:extent cx="4171288" cy="2261612"/>
            <wp:effectExtent l="19050" t="0" r="662" b="0"/>
            <wp:wrapNone/>
            <wp:docPr id="4" name="Рисунок 1" descr="Коллажи-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лажи-загадки"/>
                    <pic:cNvPicPr>
                      <a:picLocks noChangeAspect="1" noChangeArrowheads="1"/>
                    </pic:cNvPicPr>
                  </pic:nvPicPr>
                  <pic:blipFill>
                    <a:blip r:embed="rId7" cstate="print">
                      <a:lum bright="30000"/>
                    </a:blip>
                    <a:srcRect/>
                    <a:stretch>
                      <a:fillRect/>
                    </a:stretch>
                  </pic:blipFill>
                  <pic:spPr bwMode="auto">
                    <a:xfrm>
                      <a:off x="0" y="0"/>
                      <a:ext cx="4171288" cy="2261612"/>
                    </a:xfrm>
                    <a:prstGeom prst="rect">
                      <a:avLst/>
                    </a:prstGeom>
                    <a:noFill/>
                    <a:ln w="9525">
                      <a:noFill/>
                      <a:miter lim="800000"/>
                      <a:headEnd/>
                      <a:tailEnd/>
                    </a:ln>
                  </pic:spPr>
                </pic:pic>
              </a:graphicData>
            </a:graphic>
          </wp:anchor>
        </w:drawing>
      </w:r>
      <w:bookmarkStart w:id="2" w:name="_Toc21077440"/>
      <w:bookmarkStart w:id="3" w:name="_Toc21509321"/>
      <w:bookmarkStart w:id="4" w:name="_Toc21532576"/>
      <w:bookmarkStart w:id="5" w:name="_Toc36134677"/>
      <w:bookmarkStart w:id="6" w:name="_Toc68253633"/>
      <w:r w:rsidRPr="0091422F">
        <w:rPr>
          <w:rFonts w:eastAsia="Times New Roman"/>
          <w:b/>
        </w:rPr>
        <w:t>БИБЛИОТЕКА ПРЕДСТАВЛЯЕТ</w:t>
      </w:r>
      <w:bookmarkEnd w:id="0"/>
      <w:bookmarkEnd w:id="1"/>
      <w:bookmarkEnd w:id="2"/>
      <w:bookmarkEnd w:id="3"/>
      <w:bookmarkEnd w:id="4"/>
      <w:r w:rsidRPr="00CD6797">
        <w:rPr>
          <w:rStyle w:val="a7"/>
          <w:rFonts w:ascii="Verdana" w:eastAsia="Times New Roman" w:hAnsi="Verdana"/>
          <w:b/>
          <w:bCs/>
          <w:color w:val="1F497D" w:themeColor="text2"/>
        </w:rPr>
        <w:footnoteReference w:id="1"/>
      </w:r>
      <w:bookmarkEnd w:id="5"/>
      <w:bookmarkEnd w:id="6"/>
    </w:p>
    <w:p w:rsidR="007C2CD7" w:rsidRPr="00CD6797" w:rsidRDefault="007C2CD7" w:rsidP="0091422F">
      <w:pPr>
        <w:jc w:val="center"/>
        <w:rPr>
          <w:rFonts w:eastAsia="Times New Roman"/>
        </w:rPr>
      </w:pPr>
    </w:p>
    <w:p w:rsidR="007C2CD7" w:rsidRPr="0091422F" w:rsidRDefault="007C2CD7" w:rsidP="0091422F">
      <w:pPr>
        <w:jc w:val="center"/>
        <w:rPr>
          <w:rFonts w:eastAsia="Times New Roman"/>
          <w:sz w:val="28"/>
          <w:szCs w:val="28"/>
        </w:rPr>
      </w:pPr>
      <w:bookmarkStart w:id="7" w:name="_Toc21532577"/>
      <w:bookmarkStart w:id="8" w:name="_Toc36134678"/>
      <w:bookmarkStart w:id="9" w:name="_Toc68253634"/>
      <w:r w:rsidRPr="0091422F">
        <w:rPr>
          <w:rFonts w:eastAsia="Times New Roman"/>
          <w:sz w:val="28"/>
          <w:szCs w:val="28"/>
        </w:rPr>
        <w:t>Кафедре «Финансовые рынки и технологии»</w:t>
      </w:r>
      <w:bookmarkEnd w:id="7"/>
      <w:bookmarkEnd w:id="8"/>
      <w:bookmarkEnd w:id="9"/>
    </w:p>
    <w:bookmarkStart w:id="10" w:name="_Toc36134679" w:displacedByCustomXml="next"/>
    <w:sdt>
      <w:sdtPr>
        <w:rPr>
          <w:rFonts w:ascii="Times New Roman" w:eastAsiaTheme="minorEastAsia" w:hAnsi="Times New Roman" w:cs="Times New Roman"/>
          <w:b w:val="0"/>
          <w:bCs w:val="0"/>
          <w:color w:val="000088"/>
          <w:sz w:val="24"/>
          <w:szCs w:val="24"/>
          <w:lang w:eastAsia="ru-RU"/>
        </w:rPr>
        <w:id w:val="5921797"/>
        <w:docPartObj>
          <w:docPartGallery w:val="Table of Contents"/>
          <w:docPartUnique/>
        </w:docPartObj>
      </w:sdtPr>
      <w:sdtContent>
        <w:p w:rsidR="00135751" w:rsidRDefault="00135751">
          <w:pPr>
            <w:pStyle w:val="aa"/>
          </w:pPr>
        </w:p>
        <w:p w:rsidR="0091422F" w:rsidRPr="0091422F" w:rsidRDefault="007106CE" w:rsidP="0091422F">
          <w:pPr>
            <w:pStyle w:val="31"/>
            <w:tabs>
              <w:tab w:val="right" w:leader="dot" w:pos="10456"/>
            </w:tabs>
            <w:ind w:left="0"/>
            <w:rPr>
              <w:rFonts w:asciiTheme="minorHAnsi" w:hAnsiTheme="minorHAnsi" w:cstheme="minorBidi"/>
              <w:noProof/>
              <w:color w:val="auto"/>
              <w:sz w:val="22"/>
              <w:szCs w:val="22"/>
            </w:rPr>
          </w:pPr>
          <w:r>
            <w:fldChar w:fldCharType="begin"/>
          </w:r>
          <w:r w:rsidR="00135751">
            <w:instrText xml:space="preserve"> TOC \o "1-3" \h \z \u </w:instrText>
          </w:r>
          <w:r>
            <w:fldChar w:fldCharType="separate"/>
          </w:r>
          <w:hyperlink w:anchor="_Toc68529143" w:history="1">
            <w:r w:rsidR="0091422F" w:rsidRPr="0091422F">
              <w:rPr>
                <w:rStyle w:val="a3"/>
                <w:rFonts w:ascii="Verdana" w:hAnsi="Verdana"/>
                <w:noProof/>
              </w:rPr>
              <w:t>Новые книги</w:t>
            </w:r>
            <w:r w:rsidR="0091422F" w:rsidRPr="0091422F">
              <w:rPr>
                <w:noProof/>
                <w:webHidden/>
              </w:rPr>
              <w:tab/>
            </w:r>
            <w:r w:rsidR="0091422F" w:rsidRPr="0091422F">
              <w:rPr>
                <w:noProof/>
                <w:webHidden/>
              </w:rPr>
              <w:fldChar w:fldCharType="begin"/>
            </w:r>
            <w:r w:rsidR="0091422F" w:rsidRPr="0091422F">
              <w:rPr>
                <w:noProof/>
                <w:webHidden/>
              </w:rPr>
              <w:instrText xml:space="preserve"> PAGEREF _Toc68529143 \h </w:instrText>
            </w:r>
            <w:r w:rsidR="0091422F" w:rsidRPr="0091422F">
              <w:rPr>
                <w:noProof/>
                <w:webHidden/>
              </w:rPr>
            </w:r>
            <w:r w:rsidR="0091422F" w:rsidRPr="0091422F">
              <w:rPr>
                <w:noProof/>
                <w:webHidden/>
              </w:rPr>
              <w:fldChar w:fldCharType="separate"/>
            </w:r>
            <w:r w:rsidR="0091422F" w:rsidRPr="0091422F">
              <w:rPr>
                <w:noProof/>
                <w:webHidden/>
              </w:rPr>
              <w:t>1</w:t>
            </w:r>
            <w:r w:rsidR="0091422F" w:rsidRPr="0091422F">
              <w:rPr>
                <w:noProof/>
                <w:webHidden/>
              </w:rPr>
              <w:fldChar w:fldCharType="end"/>
            </w:r>
          </w:hyperlink>
        </w:p>
        <w:p w:rsidR="0091422F" w:rsidRPr="0091422F" w:rsidRDefault="0091422F">
          <w:pPr>
            <w:pStyle w:val="11"/>
            <w:rPr>
              <w:rFonts w:asciiTheme="minorHAnsi" w:hAnsiTheme="minorHAnsi" w:cstheme="minorBidi"/>
              <w:b w:val="0"/>
              <w:color w:val="auto"/>
              <w:sz w:val="22"/>
              <w:szCs w:val="22"/>
            </w:rPr>
          </w:pPr>
          <w:hyperlink w:anchor="_Toc68529144" w:history="1">
            <w:r w:rsidRPr="0091422F">
              <w:rPr>
                <w:rStyle w:val="a3"/>
                <w:b w:val="0"/>
              </w:rPr>
              <w:t>Публикации из периодики</w:t>
            </w:r>
            <w:r w:rsidRPr="0091422F">
              <w:rPr>
                <w:b w:val="0"/>
                <w:webHidden/>
              </w:rPr>
              <w:tab/>
            </w:r>
            <w:r w:rsidRPr="0091422F">
              <w:rPr>
                <w:b w:val="0"/>
                <w:webHidden/>
              </w:rPr>
              <w:fldChar w:fldCharType="begin"/>
            </w:r>
            <w:r w:rsidRPr="0091422F">
              <w:rPr>
                <w:b w:val="0"/>
                <w:webHidden/>
              </w:rPr>
              <w:instrText xml:space="preserve"> PAGEREF _Toc68529144 \h </w:instrText>
            </w:r>
            <w:r w:rsidRPr="0091422F">
              <w:rPr>
                <w:b w:val="0"/>
                <w:webHidden/>
              </w:rPr>
            </w:r>
            <w:r w:rsidRPr="0091422F">
              <w:rPr>
                <w:b w:val="0"/>
                <w:webHidden/>
              </w:rPr>
              <w:fldChar w:fldCharType="separate"/>
            </w:r>
            <w:r w:rsidRPr="0091422F">
              <w:rPr>
                <w:b w:val="0"/>
                <w:webHidden/>
              </w:rPr>
              <w:t>2</w:t>
            </w:r>
            <w:r w:rsidRPr="0091422F">
              <w:rPr>
                <w:b w:val="0"/>
                <w:webHidden/>
              </w:rPr>
              <w:fldChar w:fldCharType="end"/>
            </w:r>
          </w:hyperlink>
        </w:p>
        <w:p w:rsidR="0091422F" w:rsidRPr="0091422F" w:rsidRDefault="0091422F">
          <w:pPr>
            <w:pStyle w:val="11"/>
            <w:rPr>
              <w:rFonts w:asciiTheme="minorHAnsi" w:hAnsiTheme="minorHAnsi" w:cstheme="minorBidi"/>
              <w:b w:val="0"/>
              <w:color w:val="auto"/>
              <w:sz w:val="22"/>
              <w:szCs w:val="22"/>
            </w:rPr>
          </w:pPr>
          <w:hyperlink w:anchor="_Toc68529145" w:history="1">
            <w:r w:rsidRPr="0091422F">
              <w:rPr>
                <w:rStyle w:val="a3"/>
                <w:b w:val="0"/>
              </w:rPr>
              <w:t>Книжное ассорти</w:t>
            </w:r>
            <w:r w:rsidRPr="0091422F">
              <w:rPr>
                <w:b w:val="0"/>
                <w:webHidden/>
              </w:rPr>
              <w:tab/>
            </w:r>
            <w:r w:rsidRPr="0091422F">
              <w:rPr>
                <w:b w:val="0"/>
                <w:webHidden/>
              </w:rPr>
              <w:fldChar w:fldCharType="begin"/>
            </w:r>
            <w:r w:rsidRPr="0091422F">
              <w:rPr>
                <w:b w:val="0"/>
                <w:webHidden/>
              </w:rPr>
              <w:instrText xml:space="preserve"> PAGEREF _Toc68529145 \h </w:instrText>
            </w:r>
            <w:r w:rsidRPr="0091422F">
              <w:rPr>
                <w:b w:val="0"/>
                <w:webHidden/>
              </w:rPr>
            </w:r>
            <w:r w:rsidRPr="0091422F">
              <w:rPr>
                <w:b w:val="0"/>
                <w:webHidden/>
              </w:rPr>
              <w:fldChar w:fldCharType="separate"/>
            </w:r>
            <w:r w:rsidRPr="0091422F">
              <w:rPr>
                <w:b w:val="0"/>
                <w:webHidden/>
              </w:rPr>
              <w:t>5</w:t>
            </w:r>
            <w:r w:rsidRPr="0091422F">
              <w:rPr>
                <w:b w:val="0"/>
                <w:webHidden/>
              </w:rPr>
              <w:fldChar w:fldCharType="end"/>
            </w:r>
          </w:hyperlink>
        </w:p>
        <w:p w:rsidR="0091422F" w:rsidRPr="0091422F" w:rsidRDefault="0091422F">
          <w:pPr>
            <w:pStyle w:val="11"/>
            <w:rPr>
              <w:rFonts w:asciiTheme="minorHAnsi" w:hAnsiTheme="minorHAnsi" w:cstheme="minorBidi"/>
              <w:b w:val="0"/>
              <w:color w:val="auto"/>
              <w:sz w:val="22"/>
              <w:szCs w:val="22"/>
            </w:rPr>
          </w:pPr>
          <w:hyperlink w:anchor="_Toc68529146" w:history="1">
            <w:r w:rsidRPr="0091422F">
              <w:rPr>
                <w:rStyle w:val="a3"/>
                <w:b w:val="0"/>
              </w:rPr>
              <w:t>ПРОчтение</w:t>
            </w:r>
            <w:r w:rsidRPr="0091422F">
              <w:rPr>
                <w:b w:val="0"/>
                <w:webHidden/>
              </w:rPr>
              <w:tab/>
            </w:r>
            <w:r w:rsidRPr="0091422F">
              <w:rPr>
                <w:b w:val="0"/>
                <w:webHidden/>
              </w:rPr>
              <w:fldChar w:fldCharType="begin"/>
            </w:r>
            <w:r w:rsidRPr="0091422F">
              <w:rPr>
                <w:b w:val="0"/>
                <w:webHidden/>
              </w:rPr>
              <w:instrText xml:space="preserve"> PAGEREF _Toc68529146 \h </w:instrText>
            </w:r>
            <w:r w:rsidRPr="0091422F">
              <w:rPr>
                <w:b w:val="0"/>
                <w:webHidden/>
              </w:rPr>
            </w:r>
            <w:r w:rsidRPr="0091422F">
              <w:rPr>
                <w:b w:val="0"/>
                <w:webHidden/>
              </w:rPr>
              <w:fldChar w:fldCharType="separate"/>
            </w:r>
            <w:r w:rsidRPr="0091422F">
              <w:rPr>
                <w:b w:val="0"/>
                <w:webHidden/>
              </w:rPr>
              <w:t>6</w:t>
            </w:r>
            <w:r w:rsidRPr="0091422F">
              <w:rPr>
                <w:b w:val="0"/>
                <w:webHidden/>
              </w:rPr>
              <w:fldChar w:fldCharType="end"/>
            </w:r>
          </w:hyperlink>
        </w:p>
        <w:p w:rsidR="0091422F" w:rsidRPr="0091422F" w:rsidRDefault="0091422F" w:rsidP="0091422F">
          <w:pPr>
            <w:pStyle w:val="11"/>
            <w:ind w:firstLine="709"/>
            <w:rPr>
              <w:rFonts w:asciiTheme="minorHAnsi" w:hAnsiTheme="minorHAnsi" w:cstheme="minorBidi"/>
              <w:b w:val="0"/>
              <w:color w:val="auto"/>
              <w:sz w:val="22"/>
              <w:szCs w:val="22"/>
            </w:rPr>
          </w:pPr>
          <w:hyperlink w:anchor="_Toc68529147" w:history="1">
            <w:r w:rsidRPr="0091422F">
              <w:rPr>
                <w:rStyle w:val="a3"/>
                <w:b w:val="0"/>
              </w:rPr>
              <w:t>Факт</w:t>
            </w:r>
            <w:r w:rsidRPr="0091422F">
              <w:rPr>
                <w:b w:val="0"/>
                <w:webHidden/>
              </w:rPr>
              <w:tab/>
            </w:r>
            <w:r w:rsidRPr="0091422F">
              <w:rPr>
                <w:b w:val="0"/>
                <w:webHidden/>
              </w:rPr>
              <w:fldChar w:fldCharType="begin"/>
            </w:r>
            <w:r w:rsidRPr="0091422F">
              <w:rPr>
                <w:b w:val="0"/>
                <w:webHidden/>
              </w:rPr>
              <w:instrText xml:space="preserve"> PAGEREF _Toc68529147 \h </w:instrText>
            </w:r>
            <w:r w:rsidRPr="0091422F">
              <w:rPr>
                <w:b w:val="0"/>
                <w:webHidden/>
              </w:rPr>
            </w:r>
            <w:r w:rsidRPr="0091422F">
              <w:rPr>
                <w:b w:val="0"/>
                <w:webHidden/>
              </w:rPr>
              <w:fldChar w:fldCharType="separate"/>
            </w:r>
            <w:r w:rsidRPr="0091422F">
              <w:rPr>
                <w:b w:val="0"/>
                <w:webHidden/>
              </w:rPr>
              <w:t>6</w:t>
            </w:r>
            <w:r w:rsidRPr="0091422F">
              <w:rPr>
                <w:b w:val="0"/>
                <w:webHidden/>
              </w:rPr>
              <w:fldChar w:fldCharType="end"/>
            </w:r>
          </w:hyperlink>
        </w:p>
        <w:p w:rsidR="0091422F" w:rsidRDefault="0091422F" w:rsidP="0091422F">
          <w:pPr>
            <w:pStyle w:val="11"/>
            <w:ind w:firstLine="709"/>
            <w:rPr>
              <w:rFonts w:asciiTheme="minorHAnsi" w:hAnsiTheme="minorHAnsi" w:cstheme="minorBidi"/>
              <w:b w:val="0"/>
              <w:color w:val="auto"/>
              <w:sz w:val="22"/>
              <w:szCs w:val="22"/>
            </w:rPr>
          </w:pPr>
          <w:hyperlink w:anchor="_Toc68529148" w:history="1">
            <w:r w:rsidRPr="0091422F">
              <w:rPr>
                <w:rStyle w:val="a3"/>
                <w:b w:val="0"/>
              </w:rPr>
              <w:t>Произведения</w:t>
            </w:r>
            <w:r w:rsidRPr="0091422F">
              <w:rPr>
                <w:b w:val="0"/>
                <w:webHidden/>
              </w:rPr>
              <w:tab/>
            </w:r>
            <w:r w:rsidRPr="0091422F">
              <w:rPr>
                <w:b w:val="0"/>
                <w:webHidden/>
              </w:rPr>
              <w:fldChar w:fldCharType="begin"/>
            </w:r>
            <w:r w:rsidRPr="0091422F">
              <w:rPr>
                <w:b w:val="0"/>
                <w:webHidden/>
              </w:rPr>
              <w:instrText xml:space="preserve"> PAGEREF _Toc68529148 \h </w:instrText>
            </w:r>
            <w:r w:rsidRPr="0091422F">
              <w:rPr>
                <w:b w:val="0"/>
                <w:webHidden/>
              </w:rPr>
            </w:r>
            <w:r w:rsidRPr="0091422F">
              <w:rPr>
                <w:b w:val="0"/>
                <w:webHidden/>
              </w:rPr>
              <w:fldChar w:fldCharType="separate"/>
            </w:r>
            <w:r w:rsidRPr="0091422F">
              <w:rPr>
                <w:b w:val="0"/>
                <w:webHidden/>
              </w:rPr>
              <w:t>6</w:t>
            </w:r>
            <w:r w:rsidRPr="0091422F">
              <w:rPr>
                <w:b w:val="0"/>
                <w:webHidden/>
              </w:rPr>
              <w:fldChar w:fldCharType="end"/>
            </w:r>
          </w:hyperlink>
        </w:p>
        <w:p w:rsidR="00135751" w:rsidRDefault="007106CE">
          <w:r>
            <w:fldChar w:fldCharType="end"/>
          </w:r>
        </w:p>
      </w:sdtContent>
    </w:sdt>
    <w:p w:rsidR="00CD6797" w:rsidRPr="00CD6797" w:rsidRDefault="00CD6797" w:rsidP="00CD6797">
      <w:pPr>
        <w:pStyle w:val="3"/>
        <w:jc w:val="center"/>
        <w:rPr>
          <w:rFonts w:ascii="Verdana" w:eastAsia="Times New Roman" w:hAnsi="Verdana"/>
          <w:color w:val="1F497D" w:themeColor="text2"/>
          <w:sz w:val="24"/>
          <w:szCs w:val="24"/>
        </w:rPr>
      </w:pPr>
      <w:bookmarkStart w:id="11" w:name="_Toc68529143"/>
      <w:r w:rsidRPr="00135751">
        <w:rPr>
          <w:rStyle w:val="10"/>
          <w:rFonts w:ascii="Verdana" w:hAnsi="Verdana"/>
          <w:sz w:val="24"/>
          <w:szCs w:val="24"/>
        </w:rPr>
        <w:t>Новые книги</w:t>
      </w:r>
      <w:r w:rsidRPr="00CD6797">
        <w:rPr>
          <w:rStyle w:val="a7"/>
          <w:rFonts w:ascii="Verdana" w:eastAsia="Times New Roman" w:hAnsi="Verdana"/>
          <w:color w:val="1F497D" w:themeColor="text2"/>
          <w:sz w:val="24"/>
          <w:szCs w:val="24"/>
        </w:rPr>
        <w:footnoteReference w:id="2"/>
      </w:r>
      <w:bookmarkEnd w:id="10"/>
      <w:bookmarkEnd w:id="11"/>
    </w:p>
    <w:p w:rsidR="007106CE" w:rsidRPr="0091422F" w:rsidRDefault="00CD6797" w:rsidP="0091422F">
      <w:pPr>
        <w:rPr>
          <w:i/>
        </w:rPr>
      </w:pPr>
      <w:r w:rsidRPr="00CD6797">
        <w:rPr>
          <w:rFonts w:eastAsia="Times New Roman"/>
          <w:color w:val="1F497D" w:themeColor="text2"/>
        </w:rPr>
        <w:t xml:space="preserve">       </w:t>
      </w:r>
      <w:bookmarkStart w:id="12" w:name="_Toc68253636"/>
      <w:r w:rsidRPr="0091422F">
        <w:rPr>
          <w:i/>
        </w:rPr>
        <w:t>Дисциплины</w:t>
      </w:r>
      <w:r w:rsidRPr="0091422F">
        <w:rPr>
          <w:rFonts w:eastAsia="Times New Roman"/>
          <w:i/>
          <w:color w:val="1F497D" w:themeColor="text2"/>
        </w:rPr>
        <w:t xml:space="preserve">               </w:t>
      </w:r>
      <w:r w:rsidRPr="0091422F">
        <w:rPr>
          <w:i/>
        </w:rPr>
        <w:t>Библиографические описания книг</w:t>
      </w:r>
      <w:bookmarkEnd w:id="12"/>
    </w:p>
    <w:tbl>
      <w:tblPr>
        <w:tblW w:w="5000" w:type="pct"/>
        <w:jc w:val="center"/>
        <w:tblCellSpacing w:w="15" w:type="dxa"/>
        <w:tblLayout w:type="fixed"/>
        <w:tblCellMar>
          <w:top w:w="15" w:type="dxa"/>
          <w:left w:w="15" w:type="dxa"/>
          <w:bottom w:w="15" w:type="dxa"/>
          <w:right w:w="15" w:type="dxa"/>
        </w:tblCellMar>
        <w:tblLook w:val="04A0"/>
      </w:tblPr>
      <w:tblGrid>
        <w:gridCol w:w="471"/>
        <w:gridCol w:w="1593"/>
        <w:gridCol w:w="8492"/>
      </w:tblGrid>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w:t>
            </w:r>
          </w:p>
        </w:tc>
        <w:tc>
          <w:tcPr>
            <w:tcW w:w="740" w:type="pct"/>
            <w:hideMark/>
          </w:tcPr>
          <w:p w:rsidR="00BB03BE" w:rsidRPr="00CD6797" w:rsidRDefault="00BB03BE" w:rsidP="00CD6797">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Практические основы бухгалтерского учета имущества организации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Акатьева, М. Д.</w:t>
            </w:r>
            <w:r w:rsidRPr="00CD6797">
              <w:rPr>
                <w:rFonts w:ascii="Verdana" w:eastAsia="Times New Roman" w:hAnsi="Verdana"/>
                <w:color w:val="1F497D" w:themeColor="text2"/>
                <w:sz w:val="20"/>
                <w:szCs w:val="20"/>
              </w:rPr>
              <w:br/>
              <w:t xml:space="preserve">   Практические основы бухгалтерского учета имущества организации : учеб. для сред. проф. образования по специальности 38.02.01 "Экономика и бухгалтер. учет по отраслям" / М. Д. Акатьева. - Документ read. - Москва : Инфра-М, 2020. - 318 с. - (Среднеее профессиональное образование). - Библиогр.: с. 305-307. - URL: </w:t>
            </w:r>
            <w:hyperlink r:id="rId8" w:history="1">
              <w:r w:rsidR="00CD6797" w:rsidRPr="00E735B1">
                <w:rPr>
                  <w:rStyle w:val="a3"/>
                  <w:rFonts w:ascii="Verdana" w:eastAsia="Times New Roman" w:hAnsi="Verdana"/>
                  <w:sz w:val="20"/>
                  <w:szCs w:val="20"/>
                </w:rPr>
                <w:t>https://znanium.com/read?id=359588</w:t>
              </w:r>
            </w:hyperlink>
            <w:r w:rsidRPr="00CD6797">
              <w:rPr>
                <w:rFonts w:ascii="Verdana" w:eastAsia="Times New Roman" w:hAnsi="Verdana"/>
                <w:color w:val="1F497D" w:themeColor="text2"/>
                <w:sz w:val="20"/>
                <w:szCs w:val="20"/>
              </w:rPr>
              <w:t xml:space="preserve"> (дата обращения: 17.02.2021). - Режим доступа: для авториз. пользователей. - ISBN 978-5-16-107447-3.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w:t>
            </w:r>
          </w:p>
        </w:tc>
        <w:tc>
          <w:tcPr>
            <w:tcW w:w="740" w:type="pct"/>
            <w:hideMark/>
          </w:tcPr>
          <w:p w:rsidR="00BB03BE" w:rsidRPr="00CD6797" w:rsidRDefault="00BB03BE" w:rsidP="00CD6797">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Практические основы бухгалтерского учета активов организации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Белова, Л. М.</w:t>
            </w:r>
            <w:r w:rsidRPr="00CD6797">
              <w:rPr>
                <w:rFonts w:ascii="Verdana" w:eastAsia="Times New Roman" w:hAnsi="Verdana"/>
                <w:color w:val="1F497D" w:themeColor="text2"/>
                <w:sz w:val="20"/>
                <w:szCs w:val="20"/>
              </w:rPr>
              <w:br/>
              <w:t xml:space="preserve">   Практические основы бухгалтерского учета активов организации : учеб. для сред. проф. образования по специальности 38.02.01 "Экономика и бухгалтер. учет (по отраслям)" / Л. М. Белова, О. Р. Кондрашова, Р. С. Никандрова. - Документ read. - Москва : Инфра-М, 2021. - 351 с. - (Среднеее профессиональное образование). - Библиогр.: с. 348-349. - URL: </w:t>
            </w:r>
            <w:hyperlink r:id="rId9" w:history="1">
              <w:r w:rsidR="00CD6797" w:rsidRPr="00E735B1">
                <w:rPr>
                  <w:rStyle w:val="a3"/>
                  <w:rFonts w:ascii="Verdana" w:eastAsia="Times New Roman" w:hAnsi="Verdana"/>
                  <w:sz w:val="20"/>
                  <w:szCs w:val="20"/>
                </w:rPr>
                <w:t>https://znanium.com/read?id=374251</w:t>
              </w:r>
            </w:hyperlink>
            <w:r w:rsidRPr="00CD6797">
              <w:rPr>
                <w:rFonts w:ascii="Verdana" w:eastAsia="Times New Roman" w:hAnsi="Verdana"/>
                <w:color w:val="1F497D" w:themeColor="text2"/>
                <w:sz w:val="20"/>
                <w:szCs w:val="20"/>
              </w:rPr>
              <w:t xml:space="preserve"> (дата обращения: 17.02.2021). - Режим доступа: для авториз. пользователей. - ISBN 978-5-16-107297-4.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3</w:t>
            </w:r>
          </w:p>
        </w:tc>
        <w:tc>
          <w:tcPr>
            <w:tcW w:w="740" w:type="pct"/>
            <w:hideMark/>
          </w:tcPr>
          <w:p w:rsidR="00BB03BE" w:rsidRPr="00CD6797" w:rsidRDefault="00BB03BE" w:rsidP="00CD6797">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Новые банковские продукты: виды, технология создания, способы внедрения </w:t>
            </w:r>
          </w:p>
        </w:tc>
        <w:tc>
          <w:tcPr>
            <w:tcW w:w="4001" w:type="pct"/>
            <w:hideMark/>
          </w:tcPr>
          <w:p w:rsidR="00CD6797" w:rsidRPr="00CD6797" w:rsidRDefault="00CD6797">
            <w:pPr>
              <w:rPr>
                <w:rFonts w:ascii="Verdana" w:eastAsia="Times New Roman" w:hAnsi="Verdana"/>
                <w:bCs/>
                <w:color w:val="1F497D" w:themeColor="text2"/>
                <w:sz w:val="20"/>
                <w:szCs w:val="20"/>
              </w:rPr>
            </w:pPr>
            <w:r w:rsidRPr="00CD6797">
              <w:rPr>
                <w:rFonts w:ascii="Verdana" w:eastAsia="Times New Roman" w:hAnsi="Verdana"/>
                <w:bCs/>
                <w:color w:val="1F497D" w:themeColor="text2"/>
                <w:sz w:val="20"/>
                <w:szCs w:val="20"/>
              </w:rPr>
              <w:t>У261</w:t>
            </w:r>
          </w:p>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Данилова, К. А.</w:t>
            </w:r>
            <w:r w:rsidRPr="00CD6797">
              <w:rPr>
                <w:rFonts w:ascii="Verdana" w:eastAsia="Times New Roman" w:hAnsi="Verdana"/>
                <w:color w:val="1F497D" w:themeColor="text2"/>
                <w:sz w:val="20"/>
                <w:szCs w:val="20"/>
              </w:rPr>
              <w:br/>
              <w:t>   Совершенствование методов управления финансовыми услугами на основе снижения степени оппортунизма розничного потребителя : автореф. дис. ... канд. экон. наук : 08.00.05 / К. А. Данилова ; Урал. федер. ун-т имени перв. Президента России Б. Н. Ельцина ; науч. рук. Юзвович Л. И. - Екатеринбург, 2021. - 28 с. : табл. - Библиогр.: с. 26-28. - 0-00. - Текст : непосредственный.</w:t>
            </w:r>
            <w:r w:rsidR="00CD6797">
              <w:rPr>
                <w:rFonts w:ascii="Verdana" w:eastAsia="Times New Roman" w:hAnsi="Verdana"/>
                <w:color w:val="1F497D" w:themeColor="text2"/>
                <w:sz w:val="20"/>
                <w:szCs w:val="20"/>
              </w:rPr>
              <w:t xml:space="preserve"> чз (Э109)</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4</w:t>
            </w:r>
          </w:p>
        </w:tc>
        <w:tc>
          <w:tcPr>
            <w:tcW w:w="740" w:type="pct"/>
            <w:hideMark/>
          </w:tcPr>
          <w:p w:rsidR="00BB03BE" w:rsidRPr="00CD6797" w:rsidRDefault="00BB03BE" w:rsidP="00CD6797">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Учет и анализ внешнеэкономической деятельности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Каспина, Р. Г.</w:t>
            </w:r>
            <w:r w:rsidRPr="00CD6797">
              <w:rPr>
                <w:rFonts w:ascii="Verdana" w:eastAsia="Times New Roman" w:hAnsi="Verdana"/>
                <w:color w:val="1F497D" w:themeColor="text2"/>
                <w:sz w:val="20"/>
                <w:szCs w:val="20"/>
              </w:rPr>
              <w:br/>
              <w:t xml:space="preserve">   Бухгалтерский учет и налогообложение внешнеэкономической деятельности организаций : учеб. для вузов по направлениям подгот. 38.03.01 "Экономика" (квалификация (степень) "бакалавр") / Р. Г. Каспина, Л. А. Плотникова. - 2-е изд., пер. и доп. - Документ reader. - Москва : ИНФРА-М, 2020. - 419 с. - (Высшее образование. Бакалавр). - Библиогр.: с. 324-326. - URL: </w:t>
            </w:r>
            <w:hyperlink r:id="rId10" w:history="1">
              <w:r w:rsidR="00CD6797" w:rsidRPr="00E735B1">
                <w:rPr>
                  <w:rStyle w:val="a3"/>
                  <w:rFonts w:ascii="Verdana" w:eastAsia="Times New Roman" w:hAnsi="Verdana"/>
                  <w:sz w:val="20"/>
                  <w:szCs w:val="20"/>
                </w:rPr>
                <w:t>https://znanium.com/read?id=354033</w:t>
              </w:r>
            </w:hyperlink>
            <w:r w:rsidRPr="00CD6797">
              <w:rPr>
                <w:rFonts w:ascii="Verdana" w:eastAsia="Times New Roman" w:hAnsi="Verdana"/>
                <w:color w:val="1F497D" w:themeColor="text2"/>
                <w:sz w:val="20"/>
                <w:szCs w:val="20"/>
              </w:rPr>
              <w:t xml:space="preserve"> (дата обращения: 13.11.2020). - Режим доступа: для авториз. пользователей. - ISBN 978-5-16-107643-9.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5</w:t>
            </w:r>
          </w:p>
        </w:tc>
        <w:tc>
          <w:tcPr>
            <w:tcW w:w="740" w:type="pct"/>
            <w:hideMark/>
          </w:tcPr>
          <w:p w:rsidR="00BB03BE" w:rsidRPr="00CD6797" w:rsidRDefault="00BB03BE" w:rsidP="00CD6797">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Аудит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Кочинев, Ю. Ю.</w:t>
            </w:r>
            <w:r w:rsidRPr="00CD6797">
              <w:rPr>
                <w:rFonts w:ascii="Verdana" w:eastAsia="Times New Roman" w:hAnsi="Verdana"/>
                <w:color w:val="1F497D" w:themeColor="text2"/>
                <w:sz w:val="20"/>
                <w:szCs w:val="20"/>
              </w:rPr>
              <w:br/>
            </w:r>
            <w:r w:rsidRPr="00CD6797">
              <w:rPr>
                <w:rFonts w:ascii="Verdana" w:eastAsia="Times New Roman" w:hAnsi="Verdana"/>
                <w:color w:val="1F497D" w:themeColor="text2"/>
                <w:sz w:val="20"/>
                <w:szCs w:val="20"/>
              </w:rPr>
              <w:lastRenderedPageBreak/>
              <w:t xml:space="preserve">   Аудит в соответствии с международными стандартами : учеб. для сред. проф. образования по специальности 38.02.01 "Экономика и бух. учет" / Ю. Ю. Кочинев. - Документ read. - Москва : Инфра-М, 2019. - 370 с. - (Среднеее профессиональное образование). - Библиогр.: с. 364-365. - Ответы к тестам. - Темы возмож. рефератов и докладов. - URL: </w:t>
            </w:r>
            <w:hyperlink r:id="rId11" w:history="1">
              <w:r w:rsidR="00CD6797" w:rsidRPr="00E735B1">
                <w:rPr>
                  <w:rStyle w:val="a3"/>
                  <w:rFonts w:ascii="Verdana" w:eastAsia="Times New Roman" w:hAnsi="Verdana"/>
                  <w:sz w:val="20"/>
                  <w:szCs w:val="20"/>
                </w:rPr>
                <w:t>https://znanium.com/read?id=363000</w:t>
              </w:r>
            </w:hyperlink>
            <w:r w:rsidRPr="00CD6797">
              <w:rPr>
                <w:rFonts w:ascii="Verdana" w:eastAsia="Times New Roman" w:hAnsi="Verdana"/>
                <w:color w:val="1F497D" w:themeColor="text2"/>
                <w:sz w:val="20"/>
                <w:szCs w:val="20"/>
              </w:rPr>
              <w:t xml:space="preserve"> (дата обращения: 25.02.2021). - Режим доступа: для авториз. пользователей. - ISBN 978-5-16-015070-3.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lastRenderedPageBreak/>
              <w:t>6</w:t>
            </w:r>
          </w:p>
        </w:tc>
        <w:tc>
          <w:tcPr>
            <w:tcW w:w="740" w:type="pct"/>
            <w:hideMark/>
          </w:tcPr>
          <w:p w:rsidR="00BB03BE" w:rsidRPr="00CD6797" w:rsidRDefault="00BB03BE">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Международные расчеты по экспортно-импортным операциям; Международная торговля; Международные валютно-к</w:t>
            </w:r>
            <w:r w:rsidR="00CD6797">
              <w:rPr>
                <w:rFonts w:ascii="Verdana" w:eastAsia="Times New Roman" w:hAnsi="Verdana"/>
                <w:color w:val="1F497D" w:themeColor="text2"/>
                <w:sz w:val="18"/>
                <w:szCs w:val="18"/>
              </w:rPr>
              <w:t>редитные и финансовые отношения</w:t>
            </w:r>
            <w:r w:rsidRPr="00CD6797">
              <w:rPr>
                <w:rFonts w:ascii="Verdana" w:eastAsia="Times New Roman" w:hAnsi="Verdana"/>
                <w:color w:val="1F497D" w:themeColor="text2"/>
                <w:sz w:val="18"/>
                <w:szCs w:val="18"/>
              </w:rPr>
              <w:t>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Никитинская, Ю. В.</w:t>
            </w:r>
            <w:r w:rsidRPr="00CD6797">
              <w:rPr>
                <w:rFonts w:ascii="Verdana" w:eastAsia="Times New Roman" w:hAnsi="Verdana"/>
                <w:color w:val="1F497D" w:themeColor="text2"/>
                <w:sz w:val="20"/>
                <w:szCs w:val="20"/>
              </w:rPr>
              <w:br/>
              <w:t xml:space="preserve">   Международные расчеты и валютные операции : учеб. пособие / Ю. В. Никитинская, Т. В. Нечаева. - Документ read. - Москва : Вузов. учеб. [и др.], 2020. - 215 с. - Библиогр.: с. 211. - URL: </w:t>
            </w:r>
            <w:hyperlink r:id="rId12" w:history="1">
              <w:r w:rsidR="00CD6797" w:rsidRPr="00E735B1">
                <w:rPr>
                  <w:rStyle w:val="a3"/>
                  <w:rFonts w:ascii="Verdana" w:eastAsia="Times New Roman" w:hAnsi="Verdana"/>
                  <w:sz w:val="20"/>
                  <w:szCs w:val="20"/>
                </w:rPr>
                <w:t>https://znanium.com/read?id=356078</w:t>
              </w:r>
            </w:hyperlink>
            <w:r w:rsidRPr="00CD6797">
              <w:rPr>
                <w:rFonts w:ascii="Verdana" w:eastAsia="Times New Roman" w:hAnsi="Verdana"/>
                <w:color w:val="1F497D" w:themeColor="text2"/>
                <w:sz w:val="20"/>
                <w:szCs w:val="20"/>
              </w:rPr>
              <w:t xml:space="preserve"> (дата обращения: 23.02.2021). - Режим доступа: для авториз. пользователей. - ISBN 978-5-9558-0519-1. - 978-5-16-105042-2.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7</w:t>
            </w:r>
          </w:p>
        </w:tc>
        <w:tc>
          <w:tcPr>
            <w:tcW w:w="740" w:type="pct"/>
            <w:hideMark/>
          </w:tcPr>
          <w:p w:rsidR="00BB03BE" w:rsidRPr="00CD6797" w:rsidRDefault="00BB03BE">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 xml:space="preserve">Экономика организации; Статистика; Менеджмент; Финансы, денежное обращение и кредит; Налоги и </w:t>
            </w:r>
            <w:r w:rsidR="00435ABC">
              <w:rPr>
                <w:rFonts w:ascii="Verdana" w:eastAsia="Times New Roman" w:hAnsi="Verdana"/>
                <w:color w:val="1F497D" w:themeColor="text2"/>
                <w:sz w:val="18"/>
                <w:szCs w:val="18"/>
              </w:rPr>
              <w:t>н</w:t>
            </w:r>
            <w:r w:rsidRPr="00CD6797">
              <w:rPr>
                <w:rFonts w:ascii="Verdana" w:eastAsia="Times New Roman" w:hAnsi="Verdana"/>
                <w:color w:val="1F497D" w:themeColor="text2"/>
                <w:sz w:val="18"/>
                <w:szCs w:val="18"/>
              </w:rPr>
              <w:t>алогообложение; Основы бухгалтерского учета; Аудит </w:t>
            </w:r>
          </w:p>
          <w:p w:rsidR="00CD6797" w:rsidRPr="00CD6797" w:rsidRDefault="00CD6797">
            <w:pPr>
              <w:rPr>
                <w:rFonts w:ascii="Verdana" w:eastAsia="Times New Roman" w:hAnsi="Verdana"/>
                <w:color w:val="1F497D" w:themeColor="text2"/>
                <w:sz w:val="18"/>
                <w:szCs w:val="18"/>
              </w:rPr>
            </w:pPr>
          </w:p>
          <w:p w:rsidR="00CD6797" w:rsidRPr="00CD6797" w:rsidRDefault="00CD6797">
            <w:pPr>
              <w:rPr>
                <w:rFonts w:ascii="Verdana" w:eastAsia="Times New Roman" w:hAnsi="Verdana"/>
                <w:color w:val="1F497D" w:themeColor="text2"/>
                <w:sz w:val="18"/>
                <w:szCs w:val="18"/>
              </w:rPr>
            </w:pPr>
          </w:p>
          <w:p w:rsidR="00135751" w:rsidRDefault="00135751">
            <w:pPr>
              <w:rPr>
                <w:rFonts w:ascii="Verdana" w:eastAsia="Times New Roman" w:hAnsi="Verdana"/>
                <w:color w:val="1F497D" w:themeColor="text2"/>
                <w:sz w:val="18"/>
                <w:szCs w:val="18"/>
              </w:rPr>
            </w:pPr>
          </w:p>
          <w:p w:rsidR="00135751" w:rsidRDefault="00135751">
            <w:pPr>
              <w:rPr>
                <w:rFonts w:ascii="Verdana" w:eastAsia="Times New Roman" w:hAnsi="Verdana"/>
                <w:color w:val="1F497D" w:themeColor="text2"/>
                <w:sz w:val="18"/>
                <w:szCs w:val="18"/>
              </w:rPr>
            </w:pPr>
          </w:p>
          <w:p w:rsidR="00CD6797" w:rsidRPr="00CD6797" w:rsidRDefault="00CD6797">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Место хранения журнала</w:t>
            </w:r>
          </w:p>
        </w:tc>
        <w:tc>
          <w:tcPr>
            <w:tcW w:w="4001"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Экономика и бухгалтерский учет. Общепрофессиональные дисциплины</w:t>
            </w:r>
            <w:r w:rsidRPr="00CD6797">
              <w:rPr>
                <w:rFonts w:ascii="Verdana" w:eastAsia="Times New Roman" w:hAnsi="Verdana"/>
                <w:color w:val="1F497D" w:themeColor="text2"/>
                <w:sz w:val="20"/>
                <w:szCs w:val="20"/>
              </w:rPr>
              <w:t xml:space="preserve"> : учеб. для сред. проф. образования по специальности 38.02.01 "Экономика и бухгалтер. учет (по отраслям)" / М. Ю. Елицур, В. П. Наумов, О. М. Носова, М. В. Фролова. - Документ read. - Москва : Форум [и др.], 2021. - 544 с. - (Среднеее профессиональное образование). - Библиогр.: с. 534-536. - URL: </w:t>
            </w:r>
            <w:hyperlink r:id="rId13" w:history="1">
              <w:r w:rsidR="00CD6797" w:rsidRPr="00E735B1">
                <w:rPr>
                  <w:rStyle w:val="a3"/>
                  <w:rFonts w:ascii="Verdana" w:eastAsia="Times New Roman" w:hAnsi="Verdana"/>
                  <w:sz w:val="20"/>
                  <w:szCs w:val="20"/>
                </w:rPr>
                <w:t>https://znanium.com/read?id=360475</w:t>
              </w:r>
            </w:hyperlink>
            <w:r w:rsidR="00CD6797">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(дата обращения: 23.02.2021). - Режим доступа: для авториз. пользователей. - ISBN 978-5-00091-416-8. - 978-5-16-105052-1. - Текст : электронный.</w:t>
            </w:r>
          </w:p>
          <w:p w:rsidR="00CD6797" w:rsidRPr="00CD6797" w:rsidRDefault="00CD6797">
            <w:pPr>
              <w:rPr>
                <w:rFonts w:ascii="Verdana" w:eastAsia="Times New Roman" w:hAnsi="Verdana"/>
                <w:color w:val="1F497D" w:themeColor="text2"/>
                <w:sz w:val="20"/>
                <w:szCs w:val="20"/>
              </w:rPr>
            </w:pPr>
          </w:p>
          <w:p w:rsidR="00CD6797" w:rsidRPr="00CD6797" w:rsidRDefault="00CD6797">
            <w:pPr>
              <w:rPr>
                <w:rFonts w:ascii="Verdana" w:eastAsia="Times New Roman" w:hAnsi="Verdana"/>
                <w:color w:val="1F497D" w:themeColor="text2"/>
                <w:sz w:val="20"/>
                <w:szCs w:val="20"/>
              </w:rPr>
            </w:pPr>
          </w:p>
          <w:p w:rsidR="00CD6797" w:rsidRPr="00CD6797" w:rsidRDefault="00CD6797">
            <w:pPr>
              <w:rPr>
                <w:rFonts w:ascii="Verdana" w:eastAsia="Times New Roman" w:hAnsi="Verdana"/>
                <w:color w:val="1F497D" w:themeColor="text2"/>
                <w:sz w:val="20"/>
                <w:szCs w:val="20"/>
              </w:rPr>
            </w:pPr>
          </w:p>
          <w:p w:rsidR="00CD6797" w:rsidRPr="00CD6797" w:rsidRDefault="00CD6797">
            <w:pPr>
              <w:rPr>
                <w:rFonts w:ascii="Verdana" w:eastAsia="Times New Roman" w:hAnsi="Verdana"/>
                <w:color w:val="1F497D" w:themeColor="text2"/>
                <w:sz w:val="20"/>
                <w:szCs w:val="20"/>
              </w:rPr>
            </w:pPr>
          </w:p>
          <w:p w:rsidR="00CD6797" w:rsidRPr="00135751" w:rsidRDefault="00CD6797" w:rsidP="00135751">
            <w:pPr>
              <w:pStyle w:val="1"/>
            </w:pPr>
            <w:bookmarkStart w:id="13" w:name="_Toc68529144"/>
            <w:r w:rsidRPr="00135751">
              <w:t>Публикации из периодики</w:t>
            </w:r>
            <w:bookmarkEnd w:id="13"/>
          </w:p>
          <w:p w:rsidR="00CD6797" w:rsidRPr="00CD6797" w:rsidRDefault="00CD6797" w:rsidP="00CD6797">
            <w:pPr>
              <w:jc w:val="center"/>
              <w:rPr>
                <w:rFonts w:ascii="Verdana" w:eastAsia="Times New Roman" w:hAnsi="Verdana"/>
                <w:i/>
                <w:color w:val="1F497D" w:themeColor="text2"/>
                <w:sz w:val="20"/>
                <w:szCs w:val="20"/>
              </w:rPr>
            </w:pPr>
            <w:r w:rsidRPr="00CD6797">
              <w:rPr>
                <w:rFonts w:ascii="Verdana" w:eastAsia="Times New Roman" w:hAnsi="Verdana"/>
                <w:i/>
                <w:color w:val="1F497D" w:themeColor="text2"/>
                <w:sz w:val="20"/>
                <w:szCs w:val="20"/>
              </w:rPr>
              <w:t>Библиографические описания статей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8</w:t>
            </w:r>
          </w:p>
        </w:tc>
        <w:tc>
          <w:tcPr>
            <w:tcW w:w="740" w:type="pct"/>
            <w:hideMark/>
          </w:tcPr>
          <w:p w:rsidR="00BB03BE" w:rsidRPr="00CD6797" w:rsidRDefault="00BB03BE">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 </w:t>
            </w:r>
            <w:r w:rsidR="00CD6797">
              <w:rPr>
                <w:rFonts w:ascii="Verdana" w:eastAsia="Times New Roman" w:hAnsi="Verdana"/>
                <w:color w:val="1F497D" w:themeColor="text2"/>
                <w:sz w:val="18"/>
                <w:szCs w:val="18"/>
              </w:rPr>
              <w:t>Зал учебной литературы (Г106)</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Биткоин, золото, акции - лучшие активы прошлого года</w:t>
            </w:r>
            <w:r w:rsidRPr="00CD6797">
              <w:rPr>
                <w:rFonts w:ascii="Verdana" w:eastAsia="Times New Roman" w:hAnsi="Verdana"/>
                <w:color w:val="1F497D" w:themeColor="text2"/>
                <w:sz w:val="20"/>
                <w:szCs w:val="20"/>
              </w:rPr>
              <w:t>. - Текст : непосредственный// Банк. технологии. - 2021. - № 1. - С. 31-33.</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Рейтинг доходности самых популярных финансовых инструментов, в которые вкладывались розничные инвесторы в 2020 году</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9</w:t>
            </w:r>
          </w:p>
        </w:tc>
        <w:tc>
          <w:tcPr>
            <w:tcW w:w="740" w:type="pct"/>
            <w:hideMark/>
          </w:tcPr>
          <w:p w:rsidR="00BB03BE" w:rsidRPr="00CD6797" w:rsidRDefault="00BB03BE">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Лучшие практики финтеха Китая и Индии</w:t>
            </w:r>
            <w:r w:rsidRPr="00CD6797">
              <w:rPr>
                <w:rFonts w:ascii="Verdana" w:eastAsia="Times New Roman" w:hAnsi="Verdana"/>
                <w:color w:val="1F497D" w:themeColor="text2"/>
                <w:sz w:val="20"/>
                <w:szCs w:val="20"/>
              </w:rPr>
              <w:t>. - Текст : непосредственный</w:t>
            </w:r>
            <w:r w:rsidR="00CD6797">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Банк. технологии. - 2021. - № 1. - С. 42-48.</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Результаты исследования Аналитическая компания Markswebb в фокусе которого - лучшие финансовые технологии Китая и Индии.</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10</w:t>
            </w:r>
          </w:p>
        </w:tc>
        <w:tc>
          <w:tcPr>
            <w:tcW w:w="740" w:type="pct"/>
            <w:hideMark/>
          </w:tcPr>
          <w:p w:rsidR="00BB03BE" w:rsidRPr="00CD6797" w:rsidRDefault="00BB03BE">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 </w:t>
            </w:r>
          </w:p>
        </w:tc>
        <w:tc>
          <w:tcPr>
            <w:tcW w:w="4001" w:type="pct"/>
            <w:hideMark/>
          </w:tcPr>
          <w:p w:rsidR="00BB03BE" w:rsidRPr="00CD6797" w:rsidRDefault="00BB03BE" w:rsidP="00CD6797">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COVID -19 стал катализатором внедрения новых банковских технологий</w:t>
            </w:r>
            <w:r w:rsidRPr="00CD6797">
              <w:rPr>
                <w:rFonts w:ascii="Verdana" w:eastAsia="Times New Roman" w:hAnsi="Verdana"/>
                <w:color w:val="1F497D" w:themeColor="text2"/>
                <w:sz w:val="20"/>
                <w:szCs w:val="20"/>
              </w:rPr>
              <w:t>. - Текст : непосредственный</w:t>
            </w:r>
            <w:r w:rsidR="00CD6797">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Банк. технологии. - 2021. - № 1. - С. 23-26.</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Адаптация банков к быстро меняющейся финансовой среде в условиях пандемии COVID-19.</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11</w:t>
            </w:r>
          </w:p>
        </w:tc>
        <w:tc>
          <w:tcPr>
            <w:tcW w:w="740" w:type="pct"/>
            <w:hideMark/>
          </w:tcPr>
          <w:p w:rsidR="00BB03BE" w:rsidRPr="00CD6797" w:rsidRDefault="00BB03BE">
            <w:pPr>
              <w:rPr>
                <w:rFonts w:ascii="Verdana" w:eastAsia="Times New Roman" w:hAnsi="Verdana"/>
                <w:color w:val="1F497D" w:themeColor="text2"/>
                <w:sz w:val="18"/>
                <w:szCs w:val="18"/>
              </w:rPr>
            </w:pPr>
            <w:r w:rsidRPr="00CD6797">
              <w:rPr>
                <w:rFonts w:ascii="Verdana" w:eastAsia="Times New Roman" w:hAnsi="Verdana"/>
                <w:color w:val="1F497D" w:themeColor="text2"/>
                <w:sz w:val="18"/>
                <w:szCs w:val="18"/>
              </w:rPr>
              <w:t> </w:t>
            </w:r>
            <w:r w:rsidR="00CD6797">
              <w:rPr>
                <w:rFonts w:ascii="Verdana" w:eastAsia="Times New Roman" w:hAnsi="Verdana"/>
                <w:color w:val="1F497D" w:themeColor="text2"/>
                <w:sz w:val="18"/>
                <w:szCs w:val="18"/>
              </w:rPr>
              <w:t>Сайт ж. «Деньги и кредит»</w:t>
            </w:r>
          </w:p>
        </w:tc>
        <w:tc>
          <w:tcPr>
            <w:tcW w:w="4001" w:type="pct"/>
            <w:hideMark/>
          </w:tcPr>
          <w:p w:rsidR="00BB03BE" w:rsidRPr="00CD6797" w:rsidRDefault="00BB03BE" w:rsidP="00135751">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Финансовые шоки и кредитные циклы</w:t>
            </w:r>
            <w:r w:rsidRPr="00CD6797">
              <w:rPr>
                <w:rFonts w:ascii="Verdana" w:eastAsia="Times New Roman" w:hAnsi="Verdana"/>
                <w:color w:val="1F497D" w:themeColor="text2"/>
                <w:sz w:val="20"/>
                <w:szCs w:val="20"/>
              </w:rPr>
              <w:t xml:space="preserve"> / М. Мамонов, В. Панкова, Р. Ахметов, А. Пестова. - Текст : электронный</w:t>
            </w:r>
            <w:r w:rsidR="00CD6797">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xml:space="preserve">// Деньги и кредит. - 2020. - № 4. - С. 45-74. - Лит. в конце ст. - URL: </w:t>
            </w:r>
            <w:hyperlink r:id="rId14" w:history="1">
              <w:r w:rsidR="00CD6797" w:rsidRPr="00E735B1">
                <w:rPr>
                  <w:rStyle w:val="a3"/>
                  <w:rFonts w:ascii="Verdana" w:eastAsia="Times New Roman" w:hAnsi="Verdana"/>
                  <w:sz w:val="20"/>
                  <w:szCs w:val="20"/>
                </w:rPr>
                <w:t>https://rjmf.econs.online/upload/iblock/896/Finansovyye-shoki-i-kreditnyye-tsikly.pdf</w:t>
              </w:r>
            </w:hyperlink>
            <w:r w:rsidRPr="00CD6797">
              <w:rPr>
                <w:rFonts w:ascii="Verdana" w:eastAsia="Times New Roman" w:hAnsi="Verdana"/>
                <w:color w:val="1F497D" w:themeColor="text2"/>
                <w:sz w:val="20"/>
                <w:szCs w:val="20"/>
              </w:rPr>
              <w:t xml:space="preserve"> (дата обращения: 02.03.2021). - 2,17 МБ.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 xml:space="preserve">Проводится сравнительная оценка роли внутренних и внешних финансовых шоков в формировании фаз кредитного цикла на межстрановых квартальных данных по 27 развитым и развивающимся странам, включая Россию, за период с 1990 по 2019 г. </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12</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6674D0"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Методы расчета опережающего индикатора валового регионального продукта</w:t>
            </w:r>
            <w:r w:rsidRPr="00CD6797">
              <w:rPr>
                <w:rFonts w:ascii="Verdana" w:eastAsia="Times New Roman" w:hAnsi="Verdana"/>
                <w:color w:val="1F497D" w:themeColor="text2"/>
                <w:sz w:val="20"/>
                <w:szCs w:val="20"/>
              </w:rPr>
              <w:t xml:space="preserve"> / В. Бойко, Н. Кисляк, М. Никитин, О. Оборин. - Текст : электронный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xml:space="preserve">// Деньги и кредит. - 2020. - № 3. - С. 3-29. - Лит. в конце ст. - URL: </w:t>
            </w:r>
            <w:hyperlink r:id="rId15" w:history="1">
              <w:r w:rsidR="006674D0" w:rsidRPr="00E735B1">
                <w:rPr>
                  <w:rStyle w:val="a3"/>
                  <w:rFonts w:ascii="Verdana" w:eastAsia="Times New Roman" w:hAnsi="Verdana"/>
                  <w:sz w:val="20"/>
                  <w:szCs w:val="20"/>
                </w:rPr>
                <w:t>https://rjmf.econs.online/upload/iblock/767/Metody_rascheta_operezhayushchego_indikatora_VRP.pdf</w:t>
              </w:r>
            </w:hyperlink>
          </w:p>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lastRenderedPageBreak/>
              <w:t xml:space="preserve"> (дата обращения: 02.03.2021). - 1,3 МБ.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Представлены два метода расчета квартальных значений опережающего индикатора валового регионального продукта (ВРП). Первый метод расчета основан на методологии Росстата с использованием темпов роста показателей, отражающих выпуск по основным видам экономической деятельности в регионах. Второй метод расчета опережающего индикатора ВРП предполагает использование темпорального дезагрегирования (дезагрегирование во времени).</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lastRenderedPageBreak/>
              <w:t>13</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435ABC">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Семина, И.</w:t>
            </w:r>
            <w:r w:rsidRPr="00CD6797">
              <w:rPr>
                <w:rFonts w:ascii="Verdana" w:eastAsia="Times New Roman" w:hAnsi="Verdana"/>
                <w:color w:val="1F497D" w:themeColor="text2"/>
                <w:sz w:val="20"/>
                <w:szCs w:val="20"/>
              </w:rPr>
              <w:br/>
              <w:t>   Моделирование канала принятия риска денежно-кредитной политики в экономике России / И. Семина. - Текст : электронный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xml:space="preserve">// Деньги и кредит. - 2020. - № 3. - С. 30-57. - Лит. в конце ст. - URL: </w:t>
            </w:r>
            <w:hyperlink r:id="rId16" w:history="1">
              <w:r w:rsidR="006674D0" w:rsidRPr="00E735B1">
                <w:rPr>
                  <w:rStyle w:val="a3"/>
                  <w:rFonts w:ascii="Verdana" w:eastAsia="Times New Roman" w:hAnsi="Verdana"/>
                  <w:sz w:val="20"/>
                  <w:szCs w:val="20"/>
                </w:rPr>
                <w:t>https://rjmf.econs.online/upload/iblock/97f/Kanal_prinyatiya_riska_DKP_v_Rossii.pdf</w:t>
              </w:r>
            </w:hyperlink>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(дата обращения: 02.03.2021). - 1,3 МБ.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Основной целью работы является проверка работоспособности канала принятия риска денежно-кредитной политики в российской экономике. Наличие этого канала может быть дополнительным аргументом в пользу осторожной политики Банка России в отношении изменения ключевой ставки, так как ее резкое снижение может вызвать финансовую нестабильность за счет перераспределения средств банковского сектора в более рискованные и высокодоходные активы. В качестве меры риска выбраны Z-score и уровень просроченной задолженности, рассчитанные по ежеквартальным финансовым отчетам кредитных организаций.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14</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Стырин, К.</w:t>
            </w:r>
            <w:r w:rsidRPr="00CD6797">
              <w:rPr>
                <w:rFonts w:ascii="Verdana" w:eastAsia="Times New Roman" w:hAnsi="Verdana"/>
                <w:color w:val="1F497D" w:themeColor="text2"/>
                <w:sz w:val="20"/>
                <w:szCs w:val="20"/>
              </w:rPr>
              <w:br/>
              <w:t>   Исследовательская инициатива IBRN по вопросу взаимодействия между денежно-кредитной и пруденциальной политикой / К. Стырин, Ю. Ушакова. - Текст : электронный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xml:space="preserve">// Деньги и кредит. - 2020. - № 3. - С. 58-74. - Лит. в конце ст. - URL: </w:t>
            </w:r>
            <w:hyperlink r:id="rId17" w:history="1">
              <w:r w:rsidR="006674D0" w:rsidRPr="00E735B1">
                <w:rPr>
                  <w:rStyle w:val="a3"/>
                  <w:rFonts w:ascii="Verdana" w:eastAsia="Times New Roman" w:hAnsi="Verdana"/>
                  <w:sz w:val="20"/>
                  <w:szCs w:val="20"/>
                </w:rPr>
                <w:t>https://rjmf.econs.online/upload/iblock/084/IBRN_vzaimodeystviye_DKP_i_prudentsialnoy_politiki.pdf</w:t>
              </w:r>
            </w:hyperlink>
            <w:r w:rsidRPr="00CD6797">
              <w:rPr>
                <w:rFonts w:ascii="Verdana" w:eastAsia="Times New Roman" w:hAnsi="Verdana"/>
                <w:color w:val="1F497D" w:themeColor="text2"/>
                <w:sz w:val="20"/>
                <w:szCs w:val="20"/>
              </w:rPr>
              <w:t xml:space="preserve"> (дата обращения: 02.03.2021). - 1,15 МБ.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Статья представляет собой обзор недавней инициативы IBRN по исследованию взаимодействия денежно-кредитной и пруденциальной политики. Изучался вопрос о том, в какой степени макропруденциальная политика изменяет трансмиссионный механизм ДКП. Конкретный контекст различался между странами. Получено три основных результата. Во-первых, внутренняя пруденциальная политика в странах назначения способна частично ослаблять трансмиссию политики из системно значимых экономик на внутреннее кредитование, при этом размер эффекта является неоднородным на уровне банков стран происхождения. Во-вторых, направленность пруденциальной политики в стране происхождения также имеет значение и способна влиять на интенсивность трансграничной денежной трансмиссии. Наконец, различные пруденциальные инструменты существенно неоднородны по силе влияния на монетарную трансмиссию</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15</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Камараева, Е.</w:t>
            </w:r>
            <w:r w:rsidRPr="00CD6797">
              <w:rPr>
                <w:rFonts w:ascii="Verdana" w:eastAsia="Times New Roman" w:hAnsi="Verdana"/>
                <w:color w:val="1F497D" w:themeColor="text2"/>
                <w:sz w:val="20"/>
                <w:szCs w:val="20"/>
              </w:rPr>
              <w:br/>
              <w:t>   Структура банковской группы и риски / Е. Камараева. - Текст : электронный</w:t>
            </w:r>
            <w:r w:rsidRPr="00CD6797">
              <w:rPr>
                <w:rFonts w:ascii="Verdana" w:eastAsia="Times New Roman" w:hAnsi="Verdana"/>
                <w:color w:val="1F497D" w:themeColor="text2"/>
                <w:sz w:val="20"/>
                <w:szCs w:val="20"/>
              </w:rPr>
              <w:br/>
              <w:t xml:space="preserve">// Деньги и кредит. - 2020. - № 3. - С. 75-104. - Лит. в конце ст. - URL: </w:t>
            </w:r>
            <w:hyperlink r:id="rId18" w:history="1">
              <w:r w:rsidR="006674D0" w:rsidRPr="00E735B1">
                <w:rPr>
                  <w:rStyle w:val="a3"/>
                  <w:rFonts w:ascii="Verdana" w:eastAsia="Times New Roman" w:hAnsi="Verdana"/>
                  <w:sz w:val="20"/>
                  <w:szCs w:val="20"/>
                </w:rPr>
                <w:t>https://rjmf.econs.online/upload/iblock/f40/Struktura_bankovskoy_gruppy_i_riski.pdf</w:t>
              </w:r>
            </w:hyperlink>
            <w:r w:rsidRPr="00CD6797">
              <w:rPr>
                <w:rFonts w:ascii="Verdana" w:eastAsia="Times New Roman" w:hAnsi="Verdana"/>
                <w:color w:val="1F497D" w:themeColor="text2"/>
                <w:sz w:val="20"/>
                <w:szCs w:val="20"/>
              </w:rPr>
              <w:t xml:space="preserve"> (дата обращения: 02.03.2021). - 1,27 МБ.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Рассмотрены различные типы и показатели сложности структуры и бизнес-модели банковской группы и исследуется влияние этой сложности на риски. Используя данные по 76 российским банковским группам за 2015-2019 гг., выявлены наличие позитивной связи между сложностью организационных и бизнес-структур, с одной стороны, и рисками банковской группы - с другой</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16</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Ульянкин, Ф.</w:t>
            </w:r>
            <w:r w:rsidRPr="00CD6797">
              <w:rPr>
                <w:rFonts w:ascii="Verdana" w:eastAsia="Times New Roman" w:hAnsi="Verdana"/>
                <w:color w:val="1F497D" w:themeColor="text2"/>
                <w:sz w:val="20"/>
                <w:szCs w:val="20"/>
              </w:rPr>
              <w:br/>
              <w:t>   Прогнозирование российских макроэкономических показателей на основе информации в новостях и поисковых запросах / Ф. Ульянкин. - Текст : электронный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xml:space="preserve">// Деньги и кредит. - 2020. - № 4. - С. 75-97. - Лит. в конце ст. - URL: </w:t>
            </w:r>
            <w:hyperlink r:id="rId19" w:history="1">
              <w:r w:rsidR="006674D0" w:rsidRPr="00E735B1">
                <w:rPr>
                  <w:rStyle w:val="a3"/>
                  <w:rFonts w:ascii="Verdana" w:eastAsia="Times New Roman" w:hAnsi="Verdana"/>
                  <w:sz w:val="20"/>
                  <w:szCs w:val="20"/>
                </w:rPr>
                <w:t>https://rjmf.econs.online/upload/iblock/c8b/Prognozirovaniye-na-osnove-informatsii-v-novostyakh-i-poiskovykh-zaprosakh.pdf</w:t>
              </w:r>
            </w:hyperlink>
            <w:r w:rsidRPr="00CD6797">
              <w:rPr>
                <w:rFonts w:ascii="Verdana" w:eastAsia="Times New Roman" w:hAnsi="Verdana"/>
                <w:color w:val="1F497D" w:themeColor="text2"/>
                <w:sz w:val="20"/>
                <w:szCs w:val="20"/>
              </w:rPr>
              <w:t xml:space="preserve"> (дата обращения: 02.03.2021). - 1,57 МБ.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В работе сравниваются несколько различных индексов экономической активности по их объясняющей и прогнозной способности. индексы строятся с помощью методов машинного обучения. В качестве исходных данных используются поисковые запросы, новостные статьи и комментарии пользователей под новостными постами из социальных сетей. Анализ получившихся индексов экономической активности показывает, что существует причинность по Грейнджеру между поисковыми и новостными индексами, с одной стороны, и индексами - с другой, при этом поисковые и новостные индексы являются причинами по Грейнджеру для индексов</w:t>
            </w:r>
            <w:r w:rsidRPr="00CD6797">
              <w:rPr>
                <w:rFonts w:ascii="Verdana" w:eastAsia="Times New Roman" w:hAnsi="Verdana"/>
                <w:color w:val="1F497D" w:themeColor="text2"/>
                <w:sz w:val="20"/>
                <w:szCs w:val="20"/>
              </w:rPr>
              <w:t>.</w:t>
            </w:r>
          </w:p>
          <w:p w:rsidR="00435ABC" w:rsidRDefault="00435ABC" w:rsidP="006674D0">
            <w:pPr>
              <w:rPr>
                <w:rFonts w:ascii="Verdana" w:eastAsia="Times New Roman" w:hAnsi="Verdana"/>
                <w:color w:val="1F497D" w:themeColor="text2"/>
                <w:sz w:val="20"/>
                <w:szCs w:val="20"/>
              </w:rPr>
            </w:pPr>
          </w:p>
          <w:p w:rsidR="00435ABC" w:rsidRPr="00CD6797" w:rsidRDefault="00435ABC" w:rsidP="006674D0">
            <w:pPr>
              <w:rPr>
                <w:rFonts w:ascii="Verdana" w:eastAsia="Times New Roman" w:hAnsi="Verdana"/>
                <w:color w:val="1F497D" w:themeColor="text2"/>
                <w:sz w:val="20"/>
                <w:szCs w:val="20"/>
              </w:rPr>
            </w:pP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lastRenderedPageBreak/>
              <w:t>17</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Pr="00CD6797">
              <w:rPr>
                <w:rFonts w:ascii="Verdana" w:eastAsia="Times New Roman" w:hAnsi="Verdana"/>
                <w:b/>
                <w:bCs/>
                <w:color w:val="1F497D" w:themeColor="text2"/>
                <w:sz w:val="20"/>
                <w:szCs w:val="20"/>
              </w:rPr>
              <w:t>Оценка последствий пандемии для экономики России через призму межотраслевого баланса</w:t>
            </w:r>
            <w:r w:rsidRPr="00CD6797">
              <w:rPr>
                <w:rFonts w:ascii="Verdana" w:eastAsia="Times New Roman" w:hAnsi="Verdana"/>
                <w:color w:val="1F497D" w:themeColor="text2"/>
                <w:sz w:val="20"/>
                <w:szCs w:val="20"/>
              </w:rPr>
              <w:t xml:space="preserve"> / А. Пономаренко, С. Попова, А. Синяков [и др.]. - Текст : электронный</w:t>
            </w:r>
            <w:r w:rsidRPr="00CD6797">
              <w:rPr>
                <w:rFonts w:ascii="Verdana" w:eastAsia="Times New Roman" w:hAnsi="Verdana"/>
                <w:color w:val="1F497D" w:themeColor="text2"/>
                <w:sz w:val="20"/>
                <w:szCs w:val="20"/>
              </w:rPr>
              <w:br/>
              <w:t xml:space="preserve">// Деньги и кредит. - 2020. - № 4. - С. 3-17. - Лит. в конце ст. - URL: </w:t>
            </w:r>
            <w:hyperlink r:id="rId20" w:history="1">
              <w:r w:rsidR="006674D0" w:rsidRPr="00E735B1">
                <w:rPr>
                  <w:rStyle w:val="a3"/>
                  <w:rFonts w:ascii="Verdana" w:eastAsia="Times New Roman" w:hAnsi="Verdana"/>
                  <w:sz w:val="20"/>
                  <w:szCs w:val="20"/>
                </w:rPr>
                <w:t>https://rjmf.econs.online/upload/iblock/b8d/Otsenka-posledstviy-pandemii-dlya-ekonomiki-Rossii.pdf</w:t>
              </w:r>
            </w:hyperlink>
            <w:r w:rsidRPr="00CD6797">
              <w:rPr>
                <w:rFonts w:ascii="Verdana" w:eastAsia="Times New Roman" w:hAnsi="Verdana"/>
                <w:color w:val="1F497D" w:themeColor="text2"/>
                <w:sz w:val="20"/>
                <w:szCs w:val="20"/>
              </w:rPr>
              <w:t xml:space="preserve"> (дата обращения: 02.03.2021). - 944 КБ.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Оценивается влияние ограничительных мер, принятых для предотвращения распространения пандемии коронавируса, на динамику экономической активности. Помимо влияния первичных шоков, вызванных непосредственно действием ограничительных мер, мы оцениваем также и вторичные эффекты этих мер через межотраслевые связи. Оценки показывают, что действие вторичных эффектов распространяется на большее количество отраслей, чем действие первичных эффектов. При этом общий масштаб влияния вторичных эффектов на экономику оказывается большим, чем масштаб влияния первичных эффектов при высокой неоднородности динамики по отраслям.</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18</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435ABC">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Коротких, О.</w:t>
            </w:r>
            <w:r w:rsidRPr="00CD6797">
              <w:rPr>
                <w:rFonts w:ascii="Verdana" w:eastAsia="Times New Roman" w:hAnsi="Verdana"/>
                <w:color w:val="1F497D" w:themeColor="text2"/>
                <w:sz w:val="20"/>
                <w:szCs w:val="20"/>
              </w:rPr>
              <w:br/>
              <w:t>   Межстрановая BVAR-модель внешнего сектора / О. Коротких. - Текст : электронный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xml:space="preserve">// Деньги и кредит. - 2020. - № 4. - С. 98-112. - Лит. в конце ст. - URL: </w:t>
            </w:r>
            <w:hyperlink r:id="rId21" w:history="1">
              <w:r w:rsidR="006674D0" w:rsidRPr="00E735B1">
                <w:rPr>
                  <w:rStyle w:val="a3"/>
                  <w:rFonts w:ascii="Verdana" w:eastAsia="Times New Roman" w:hAnsi="Verdana"/>
                  <w:sz w:val="20"/>
                  <w:szCs w:val="20"/>
                </w:rPr>
                <w:t>https://rjmf.econs.online/upload/iblock/7c6/Mezhstranovaya-BVAR-model-vneshnego-sektora.pdf</w:t>
              </w:r>
            </w:hyperlink>
            <w:r w:rsidRPr="00CD6797">
              <w:rPr>
                <w:rFonts w:ascii="Verdana" w:eastAsia="Times New Roman" w:hAnsi="Verdana"/>
                <w:color w:val="1F497D" w:themeColor="text2"/>
                <w:sz w:val="20"/>
                <w:szCs w:val="20"/>
              </w:rPr>
              <w:t xml:space="preserve"> (дата обращения: 02.03.2021). - 993 КБ.</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Статья посвящена описанию межстрановой BVAR-модели, разработанной и используемой в департаменте денежно-кредитной политики Банка России. Модель позволяет строить согласованные между собой сценарные прогнозы по основным макропеременным США, еврозоны и Китая. Одновременное моделирование трех экономик дает возможность учитывать межстрановые взаимодействия переменных, за счет чего улучшаются прогнозные качества модели в сравнении с отдельными страновыми VAR- аналогами.</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19</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r w:rsidR="006674D0">
              <w:rPr>
                <w:rFonts w:ascii="Verdana" w:eastAsia="Times New Roman" w:hAnsi="Verdana"/>
                <w:color w:val="1F497D" w:themeColor="text2"/>
                <w:sz w:val="18"/>
                <w:szCs w:val="18"/>
              </w:rPr>
              <w:t>Зал учебной литературы (Г106)</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Алерс, Е.</w:t>
            </w:r>
            <w:r w:rsidRPr="00CD6797">
              <w:rPr>
                <w:rFonts w:ascii="Verdana" w:eastAsia="Times New Roman" w:hAnsi="Verdana"/>
                <w:color w:val="1F497D" w:themeColor="text2"/>
                <w:sz w:val="20"/>
                <w:szCs w:val="20"/>
              </w:rPr>
              <w:br/>
              <w:t>   Как минимизировать информационные риски с помощью стандарта ISO 27001 / Е. Алерс.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11. - С. 38-41.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Какие риски в сфере защиты информации сегодня критичны? Как можно их минимизировать при помощи стандарта ISO 27001? В чем состоят преимущества сертификации в соответствии с данным стандартом? Ответ на эти вопросы дает автор статьи - индивидуальный консультант, аудитор, работающий в Германии.</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20</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Венерская, Т. В.</w:t>
            </w:r>
            <w:r w:rsidRPr="00CD6797">
              <w:rPr>
                <w:rFonts w:ascii="Verdana" w:eastAsia="Times New Roman" w:hAnsi="Verdana"/>
                <w:color w:val="1F497D" w:themeColor="text2"/>
                <w:sz w:val="20"/>
                <w:szCs w:val="20"/>
              </w:rPr>
              <w:br/>
              <w:t>   Стандарт BRC в практике внутренних аудитов / Т. В. Венерская. - Текст : непосредственный// Упр. качеством. - 2020. - № 10. - С. 14-18.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Рассмотрены особенности проведения аудита по стандарту BRC, приведены практические примеры, описаны основные требования, которые необходимо выполнять производителям упаковки и упаковочных материалов</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21</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Зубарева, И. В.</w:t>
            </w:r>
            <w:r w:rsidRPr="00CD6797">
              <w:rPr>
                <w:rFonts w:ascii="Verdana" w:eastAsia="Times New Roman" w:hAnsi="Verdana"/>
                <w:color w:val="1F497D" w:themeColor="text2"/>
                <w:sz w:val="20"/>
                <w:szCs w:val="20"/>
              </w:rPr>
              <w:br/>
              <w:t>   САРА - действенные практики по постоянным улучшениям в пищевых производствах / И. В. Зубарева.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10. - С. 19-23.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Рассмотрены подходы к усовершенствованию системы менеджмента качества на производстве, методы оптимизации процессов после прохождения аудитов в рамках мероприятий CAPA. Приведены практические примеры</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22</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135751" w:rsidRPr="00CD6797" w:rsidRDefault="00BB03BE" w:rsidP="00435ABC">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Кузетова, Н. Г.</w:t>
            </w:r>
            <w:r w:rsidRPr="00CD6797">
              <w:rPr>
                <w:rFonts w:ascii="Verdana" w:eastAsia="Times New Roman" w:hAnsi="Verdana"/>
                <w:color w:val="1F497D" w:themeColor="text2"/>
                <w:sz w:val="20"/>
                <w:szCs w:val="20"/>
              </w:rPr>
              <w:br/>
              <w:t>   Гемба-обходы в качестве аудитов СМК / Н. Г. Кузетова.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10. - С. 38-46.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Рассмотрены основные инструменты и практические подходы к использованию гемба в системе менеджмента качества, связь бережливого производства и систем менеджмента качества в практике проведения аудитов. Автор делится методиками и примерами</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23</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Темникова, К. Н.</w:t>
            </w:r>
            <w:r w:rsidRPr="00CD6797">
              <w:rPr>
                <w:rFonts w:ascii="Verdana" w:eastAsia="Times New Roman" w:hAnsi="Verdana"/>
                <w:color w:val="1F497D" w:themeColor="text2"/>
                <w:sz w:val="20"/>
                <w:szCs w:val="20"/>
              </w:rPr>
              <w:br/>
              <w:t>   Разработка и внедрение системы мониторинга и измерения удовлетворенности потребителей / К. Н. Темникова, Д. И. Раевский.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10. - С. 47-50.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lastRenderedPageBreak/>
              <w:t xml:space="preserve">   </w:t>
            </w:r>
            <w:r w:rsidRPr="006674D0">
              <w:rPr>
                <w:rFonts w:ascii="Verdana" w:eastAsia="Times New Roman" w:hAnsi="Verdana"/>
                <w:color w:val="1F497D" w:themeColor="text2"/>
                <w:sz w:val="18"/>
                <w:szCs w:val="18"/>
              </w:rPr>
              <w:t>Рассмотрены практические вопросы, связанные с разработкой и внедрением системы мониторинга и измерения удовлетворенности потребителей в соответствии с ISO 10004. Рассмотрены взаимосвязь ISO 9001, ISO 10001, ISO 10002, ISO 100004, особенности разработки данной системы в сегменте B2B.</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lastRenderedPageBreak/>
              <w:t>24</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Третьяк, Е. В.</w:t>
            </w:r>
            <w:r w:rsidRPr="00CD6797">
              <w:rPr>
                <w:rFonts w:ascii="Verdana" w:eastAsia="Times New Roman" w:hAnsi="Verdana"/>
                <w:color w:val="1F497D" w:themeColor="text2"/>
                <w:sz w:val="20"/>
                <w:szCs w:val="20"/>
              </w:rPr>
              <w:br/>
              <w:t>   Аудит новой реальности / Е. В. Третьяк.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10. - С. 58-63.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Изменения и адаптация аудита новым реалиям в условиях пандемии и ее последствий</w:t>
            </w:r>
            <w:r w:rsidRPr="00CD6797">
              <w:rPr>
                <w:rFonts w:ascii="Verdana" w:eastAsia="Times New Roman" w:hAnsi="Verdana"/>
                <w:color w:val="1F497D" w:themeColor="text2"/>
                <w:sz w:val="20"/>
                <w:szCs w:val="20"/>
              </w:rPr>
              <w:t>.</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25</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Борзенко, А. С.</w:t>
            </w:r>
            <w:r w:rsidRPr="00CD6797">
              <w:rPr>
                <w:rFonts w:ascii="Verdana" w:eastAsia="Times New Roman" w:hAnsi="Verdana"/>
                <w:color w:val="1F497D" w:themeColor="text2"/>
                <w:sz w:val="20"/>
                <w:szCs w:val="20"/>
              </w:rPr>
              <w:br/>
              <w:t>   Как и зачем проводить оценочный аудит / А. С. Борзенко.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10. - С. 64-69.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В рамках внутренних аудитов процессы и документацию часто рассматривают по формальным признакам. Однако в организации работы компании ключевую роль играет стандартизация. В статье рассмотрен практический подход к систематизации и оценке документированной информации с целью проведения анализа издержек в системе стандартизации компании.</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26</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6674D0" w:rsidRDefault="00BB03BE">
            <w:pPr>
              <w:rPr>
                <w:rFonts w:ascii="Verdana" w:eastAsia="Times New Roman" w:hAnsi="Verdana"/>
                <w:color w:val="1F497D" w:themeColor="text2"/>
                <w:sz w:val="18"/>
                <w:szCs w:val="18"/>
              </w:rPr>
            </w:pPr>
            <w:r w:rsidRPr="00CD6797">
              <w:rPr>
                <w:rFonts w:ascii="Verdana" w:eastAsia="Times New Roman" w:hAnsi="Verdana"/>
                <w:b/>
                <w:bCs/>
                <w:color w:val="1F497D" w:themeColor="text2"/>
                <w:sz w:val="20"/>
                <w:szCs w:val="20"/>
              </w:rPr>
              <w:t>Краснов, Р. А.</w:t>
            </w:r>
            <w:r w:rsidRPr="00CD6797">
              <w:rPr>
                <w:rFonts w:ascii="Verdana" w:eastAsia="Times New Roman" w:hAnsi="Verdana"/>
                <w:color w:val="1F497D" w:themeColor="text2"/>
                <w:sz w:val="20"/>
                <w:szCs w:val="20"/>
              </w:rPr>
              <w:br/>
              <w:t>   Как обеспечить безопасность удаленного доступа к АСУ ТП / Р. А. Краснов. - Текст : непосредственный</w:t>
            </w:r>
            <w:r w:rsidR="006674D0">
              <w:rPr>
                <w:rFonts w:ascii="Verdana" w:eastAsia="Times New Roman" w:hAnsi="Verdana"/>
                <w:color w:val="1F497D" w:themeColor="text2"/>
                <w:sz w:val="20"/>
                <w:szCs w:val="20"/>
              </w:rPr>
              <w:t xml:space="preserve"> </w:t>
            </w:r>
            <w:r w:rsidRPr="00CD6797">
              <w:rPr>
                <w:rFonts w:ascii="Verdana" w:eastAsia="Times New Roman" w:hAnsi="Verdana"/>
                <w:color w:val="1F497D" w:themeColor="text2"/>
                <w:sz w:val="20"/>
                <w:szCs w:val="20"/>
              </w:rPr>
              <w:t>// Упр. качеством. - 2020. - № 11. - С. 30-37. - Лит. в конце ст.</w:t>
            </w:r>
            <w:r w:rsidRPr="00CD6797">
              <w:rPr>
                <w:rFonts w:ascii="Verdana" w:eastAsia="Times New Roman" w:hAnsi="Verdana"/>
                <w:color w:val="1F497D" w:themeColor="text2"/>
                <w:sz w:val="20"/>
                <w:szCs w:val="20"/>
              </w:rPr>
              <w:br/>
            </w:r>
            <w:r w:rsidR="006674D0">
              <w:rPr>
                <w:rFonts w:ascii="Verdana" w:eastAsia="Times New Roman" w:hAnsi="Verdana"/>
                <w:color w:val="1F497D" w:themeColor="text2"/>
                <w:sz w:val="20"/>
                <w:szCs w:val="20"/>
              </w:rPr>
              <w:t xml:space="preserve">  </w:t>
            </w:r>
            <w:r w:rsidRPr="006674D0">
              <w:rPr>
                <w:rFonts w:ascii="Verdana" w:eastAsia="Times New Roman" w:hAnsi="Verdana"/>
                <w:color w:val="1F497D" w:themeColor="text2"/>
                <w:sz w:val="18"/>
                <w:szCs w:val="18"/>
              </w:rPr>
              <w:t>Режим самоизоляции, связанный с пандемией COVID-19, подтолкнул многие предприятия к использованию удаленных подключений к объектам инфраструктуры для настройки и диагностики оборудования. Такой подход несет в себе риски информационной безопасности. В статье рассматриваются случаи кибератак, затрагивающих технологические системы предприятий, вопрос необходимости обеспечения удаленного доступа к сети АСУ ТП, варианты организации удаленного доступа и концепция перехода от архаичных запретов к управляемому доступу. Для этого автор статьи рекомендует создать единую точку удаленного входа пользователей, а также использовать наложенные средства защиты и мониторинга удаленных подключений.</w:t>
            </w:r>
          </w:p>
          <w:p w:rsidR="00CD6797" w:rsidRPr="00135751" w:rsidRDefault="00CD6797" w:rsidP="00135751">
            <w:pPr>
              <w:pStyle w:val="1"/>
            </w:pPr>
            <w:bookmarkStart w:id="14" w:name="_Toc68529145"/>
            <w:r w:rsidRPr="00135751">
              <w:t>Книжное ассорти</w:t>
            </w:r>
            <w:bookmarkEnd w:id="14"/>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27</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Дидро, Д.</w:t>
            </w:r>
            <w:r w:rsidRPr="00CD6797">
              <w:rPr>
                <w:rFonts w:ascii="Verdana" w:eastAsia="Times New Roman" w:hAnsi="Verdana"/>
                <w:color w:val="1F497D" w:themeColor="text2"/>
                <w:sz w:val="20"/>
                <w:szCs w:val="20"/>
              </w:rPr>
              <w:br/>
              <w:t xml:space="preserve">   Монахиня / Д. Дидро. - Документ viewer. - Москва : Юрайт, 2020. - 183 с. - (Памятники литературы). - URL: </w:t>
            </w:r>
            <w:hyperlink r:id="rId22" w:anchor="page/3" w:history="1">
              <w:r w:rsidR="006674D0" w:rsidRPr="00E735B1">
                <w:rPr>
                  <w:rStyle w:val="a3"/>
                  <w:rFonts w:ascii="Verdana" w:eastAsia="Times New Roman" w:hAnsi="Verdana"/>
                  <w:sz w:val="20"/>
                  <w:szCs w:val="20"/>
                </w:rPr>
                <w:t>https://urait.ru/viewer/monahinya-456725#page/3</w:t>
              </w:r>
            </w:hyperlink>
            <w:r w:rsidRPr="00CD6797">
              <w:rPr>
                <w:rFonts w:ascii="Verdana" w:eastAsia="Times New Roman" w:hAnsi="Verdana"/>
                <w:color w:val="1F497D" w:themeColor="text2"/>
                <w:sz w:val="20"/>
                <w:szCs w:val="20"/>
              </w:rPr>
              <w:t xml:space="preserve"> (дата обращения: 26.03.2021). - Режим доступа: для авториз. пользователей. - ISBN 978-5-534-10537-7.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28</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Лосева, П.</w:t>
            </w:r>
            <w:r w:rsidRPr="00CD6797">
              <w:rPr>
                <w:rFonts w:ascii="Verdana" w:eastAsia="Times New Roman" w:hAnsi="Verdana"/>
                <w:color w:val="1F497D" w:themeColor="text2"/>
                <w:sz w:val="20"/>
                <w:szCs w:val="20"/>
              </w:rPr>
              <w:br/>
              <w:t xml:space="preserve">   Против часовой стрелки. Что такое старение и как с ним бороться / П. Лосева. - Документ read. - Москва : Альпина нон-фикшн, 2020. - 468 с. : ил. - (PRIMUS). - URL: </w:t>
            </w:r>
            <w:hyperlink r:id="rId23" w:history="1">
              <w:r w:rsidR="006674D0" w:rsidRPr="00E735B1">
                <w:rPr>
                  <w:rStyle w:val="a3"/>
                  <w:rFonts w:ascii="Verdana" w:eastAsia="Times New Roman" w:hAnsi="Verdana"/>
                  <w:sz w:val="20"/>
                  <w:szCs w:val="20"/>
                </w:rPr>
                <w:t>https://znanium.com/read?id=368805</w:t>
              </w:r>
            </w:hyperlink>
            <w:r w:rsidRPr="00CD6797">
              <w:rPr>
                <w:rFonts w:ascii="Verdana" w:eastAsia="Times New Roman" w:hAnsi="Verdana"/>
                <w:color w:val="1F497D" w:themeColor="text2"/>
                <w:sz w:val="20"/>
                <w:szCs w:val="20"/>
              </w:rPr>
              <w:t xml:space="preserve"> (дата обращения: 29.03.2021). - Режим доступа: для авториз. пользователей. - ISBN 978-5-00139-143-2.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29</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rsidP="006674D0">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Сасаки, Ф.</w:t>
            </w:r>
            <w:r w:rsidRPr="00CD6797">
              <w:rPr>
                <w:rFonts w:ascii="Verdana" w:eastAsia="Times New Roman" w:hAnsi="Verdana"/>
                <w:color w:val="1F497D" w:themeColor="text2"/>
                <w:sz w:val="20"/>
                <w:szCs w:val="20"/>
              </w:rPr>
              <w:br/>
              <w:t xml:space="preserve">   Прощайте, вещи! Новый японский минимализм / Ф. Сасаки ; пер. с англ. Д. Шалаевой ; ред. И Беличева . - Документ read. - Москва : Альпина нон-фикшн, 2020. - 263 с. : ил. - URL: </w:t>
            </w:r>
            <w:hyperlink r:id="rId24" w:history="1">
              <w:r w:rsidR="006674D0" w:rsidRPr="00E735B1">
                <w:rPr>
                  <w:rStyle w:val="a3"/>
                  <w:rFonts w:ascii="Verdana" w:eastAsia="Times New Roman" w:hAnsi="Verdana"/>
                  <w:sz w:val="20"/>
                  <w:szCs w:val="20"/>
                </w:rPr>
                <w:t>https://znanium.com/read?id=368827</w:t>
              </w:r>
            </w:hyperlink>
            <w:r w:rsidRPr="00CD6797">
              <w:rPr>
                <w:rFonts w:ascii="Verdana" w:eastAsia="Times New Roman" w:hAnsi="Verdana"/>
                <w:color w:val="1F497D" w:themeColor="text2"/>
                <w:sz w:val="20"/>
                <w:szCs w:val="20"/>
              </w:rPr>
              <w:t xml:space="preserve"> (дата обращения: 29.03.2021). - Режим доступа: для авториз. пользователей. - ISBN 978-5-00139-269-9. - Текст : электронный.</w:t>
            </w:r>
          </w:p>
        </w:tc>
      </w:tr>
      <w:tr w:rsidR="00BB03BE" w:rsidRPr="00CD6797" w:rsidTr="00BB03BE">
        <w:trPr>
          <w:tblCellSpacing w:w="15" w:type="dxa"/>
          <w:jc w:val="center"/>
        </w:trPr>
        <w:tc>
          <w:tcPr>
            <w:tcW w:w="202"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30</w:t>
            </w:r>
          </w:p>
        </w:tc>
        <w:tc>
          <w:tcPr>
            <w:tcW w:w="740"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 </w:t>
            </w:r>
          </w:p>
        </w:tc>
        <w:tc>
          <w:tcPr>
            <w:tcW w:w="4001" w:type="pct"/>
            <w:hideMark/>
          </w:tcPr>
          <w:p w:rsidR="00BB03BE" w:rsidRPr="00CD6797" w:rsidRDefault="00BB03BE">
            <w:pPr>
              <w:rPr>
                <w:rFonts w:ascii="Verdana" w:eastAsia="Times New Roman" w:hAnsi="Verdana"/>
                <w:color w:val="1F497D" w:themeColor="text2"/>
                <w:sz w:val="20"/>
                <w:szCs w:val="20"/>
              </w:rPr>
            </w:pPr>
            <w:r w:rsidRPr="00CD6797">
              <w:rPr>
                <w:rFonts w:ascii="Verdana" w:eastAsia="Times New Roman" w:hAnsi="Verdana"/>
                <w:b/>
                <w:bCs/>
                <w:color w:val="1F497D" w:themeColor="text2"/>
                <w:sz w:val="20"/>
                <w:szCs w:val="20"/>
              </w:rPr>
              <w:t>Хиггинботам, А.</w:t>
            </w:r>
            <w:r w:rsidRPr="00CD6797">
              <w:rPr>
                <w:rFonts w:ascii="Verdana" w:eastAsia="Times New Roman" w:hAnsi="Verdana"/>
                <w:color w:val="1F497D" w:themeColor="text2"/>
                <w:sz w:val="20"/>
                <w:szCs w:val="20"/>
              </w:rPr>
              <w:br/>
              <w:t xml:space="preserve">   Чернобыль. История катастрофы : пер. с англ. / А. Хиггинботам. - Документ read. - Москва : Альпина нон-фикшн, 2020. - 551 с. : ил. - Библиогр.: с. 497-515. - URL: </w:t>
            </w:r>
            <w:hyperlink r:id="rId25" w:history="1">
              <w:r w:rsidR="006674D0" w:rsidRPr="00E735B1">
                <w:rPr>
                  <w:rStyle w:val="a3"/>
                  <w:rFonts w:ascii="Verdana" w:eastAsia="Times New Roman" w:hAnsi="Verdana"/>
                  <w:sz w:val="20"/>
                  <w:szCs w:val="20"/>
                </w:rPr>
                <w:t>https://znanium.com/read?id=368907</w:t>
              </w:r>
            </w:hyperlink>
            <w:r w:rsidRPr="00CD6797">
              <w:rPr>
                <w:rFonts w:ascii="Verdana" w:eastAsia="Times New Roman" w:hAnsi="Verdana"/>
                <w:color w:val="1F497D" w:themeColor="text2"/>
                <w:sz w:val="20"/>
                <w:szCs w:val="20"/>
              </w:rPr>
              <w:t xml:space="preserve"> (дата обращения: 29.03.2021). - Режим доступа: для авториз. пользователей. - ISBN 978-5-00139-269-9. - Текст : электронный.</w:t>
            </w:r>
          </w:p>
          <w:p w:rsidR="00CD6797" w:rsidRDefault="00CD6797">
            <w:pPr>
              <w:rPr>
                <w:rFonts w:ascii="Verdana" w:eastAsia="Times New Roman" w:hAnsi="Verdana"/>
                <w:color w:val="1F497D" w:themeColor="text2"/>
                <w:sz w:val="20"/>
                <w:szCs w:val="20"/>
              </w:rPr>
            </w:pPr>
          </w:p>
          <w:p w:rsidR="002A594C" w:rsidRDefault="002A594C">
            <w:pPr>
              <w:rPr>
                <w:rFonts w:ascii="Verdana" w:eastAsia="Times New Roman" w:hAnsi="Verdana"/>
                <w:color w:val="1F497D" w:themeColor="text2"/>
                <w:sz w:val="20"/>
                <w:szCs w:val="20"/>
              </w:rPr>
            </w:pPr>
          </w:p>
          <w:p w:rsidR="002A594C" w:rsidRDefault="002A594C">
            <w:pPr>
              <w:rPr>
                <w:rFonts w:ascii="Verdana" w:eastAsia="Times New Roman" w:hAnsi="Verdana"/>
                <w:color w:val="1F497D" w:themeColor="text2"/>
                <w:sz w:val="20"/>
                <w:szCs w:val="20"/>
              </w:rPr>
            </w:pPr>
          </w:p>
          <w:p w:rsidR="002A594C" w:rsidRDefault="002A594C">
            <w:pPr>
              <w:rPr>
                <w:rFonts w:ascii="Verdana" w:eastAsia="Times New Roman" w:hAnsi="Verdana"/>
                <w:color w:val="1F497D" w:themeColor="text2"/>
                <w:sz w:val="20"/>
                <w:szCs w:val="20"/>
              </w:rPr>
            </w:pPr>
          </w:p>
          <w:p w:rsidR="002A594C" w:rsidRDefault="002A594C">
            <w:pPr>
              <w:rPr>
                <w:rFonts w:ascii="Verdana" w:eastAsia="Times New Roman" w:hAnsi="Verdana"/>
                <w:color w:val="1F497D" w:themeColor="text2"/>
                <w:sz w:val="20"/>
                <w:szCs w:val="20"/>
              </w:rPr>
            </w:pPr>
          </w:p>
          <w:p w:rsidR="002A594C" w:rsidRPr="00281499" w:rsidRDefault="002A594C" w:rsidP="002A594C">
            <w:pPr>
              <w:pStyle w:val="1"/>
              <w:rPr>
                <w:rFonts w:ascii="Verdana" w:hAnsi="Verdana"/>
                <w:sz w:val="24"/>
                <w:szCs w:val="24"/>
              </w:rPr>
            </w:pPr>
            <w:bookmarkStart w:id="15" w:name="_Toc68529146"/>
            <w:r w:rsidRPr="00281499">
              <w:rPr>
                <w:rFonts w:ascii="Verdana" w:hAnsi="Verdana"/>
                <w:sz w:val="24"/>
                <w:szCs w:val="24"/>
              </w:rPr>
              <w:lastRenderedPageBreak/>
              <w:t>ПРОчтение</w:t>
            </w:r>
            <w:bookmarkEnd w:id="15"/>
          </w:p>
          <w:p w:rsidR="002A594C" w:rsidRPr="00281499" w:rsidRDefault="002A594C" w:rsidP="002A594C">
            <w:pPr>
              <w:pStyle w:val="1"/>
              <w:jc w:val="right"/>
              <w:rPr>
                <w:rFonts w:ascii="Verdana" w:hAnsi="Verdana"/>
                <w:sz w:val="24"/>
                <w:szCs w:val="24"/>
              </w:rPr>
            </w:pPr>
            <w:bookmarkStart w:id="16" w:name="_Toc67991249"/>
            <w:bookmarkStart w:id="17" w:name="_Toc68529147"/>
            <w:r w:rsidRPr="00281499">
              <w:rPr>
                <w:rFonts w:ascii="Verdana" w:hAnsi="Verdana"/>
                <w:sz w:val="24"/>
                <w:szCs w:val="24"/>
              </w:rPr>
              <w:t>Факт</w:t>
            </w:r>
            <w:bookmarkEnd w:id="16"/>
            <w:bookmarkEnd w:id="17"/>
          </w:p>
          <w:p w:rsidR="002A594C" w:rsidRPr="00281499" w:rsidRDefault="002A594C" w:rsidP="002A594C">
            <w:pPr>
              <w:rPr>
                <w:rFonts w:ascii="Verdana" w:hAnsi="Verdana"/>
                <w:sz w:val="20"/>
                <w:szCs w:val="20"/>
              </w:rPr>
            </w:pPr>
            <w:r w:rsidRPr="00281499">
              <w:rPr>
                <w:rFonts w:ascii="Verdana" w:hAnsi="Verdana"/>
                <w:sz w:val="20"/>
                <w:szCs w:val="20"/>
              </w:rPr>
              <w:t xml:space="preserve">В Бостоне в </w:t>
            </w:r>
            <w:r w:rsidRPr="00281499">
              <w:rPr>
                <w:rFonts w:ascii="Verdana" w:hAnsi="Verdana"/>
                <w:sz w:val="20"/>
                <w:szCs w:val="20"/>
                <w:lang w:val="en-US"/>
              </w:rPr>
              <w:t>XIX</w:t>
            </w:r>
            <w:r w:rsidRPr="00281499">
              <w:rPr>
                <w:rFonts w:ascii="Verdana" w:hAnsi="Verdana"/>
                <w:sz w:val="20"/>
                <w:szCs w:val="20"/>
              </w:rPr>
              <w:t xml:space="preserve"> веке кузнец, если мог себе позволить, то, обычно, нанимал мальчика, чтобы читать ему книги, пока тот работает.</w:t>
            </w:r>
          </w:p>
          <w:p w:rsidR="002A594C" w:rsidRDefault="002A594C" w:rsidP="002A594C">
            <w:pPr>
              <w:jc w:val="right"/>
              <w:rPr>
                <w:rFonts w:ascii="Verdana" w:hAnsi="Verdana"/>
                <w:i/>
                <w:sz w:val="20"/>
                <w:szCs w:val="20"/>
              </w:rPr>
            </w:pPr>
          </w:p>
          <w:p w:rsidR="002A594C" w:rsidRPr="0083332B" w:rsidRDefault="002A594C" w:rsidP="002A594C">
            <w:pPr>
              <w:jc w:val="right"/>
              <w:rPr>
                <w:rFonts w:ascii="Verdana" w:hAnsi="Verdana"/>
                <w:i/>
                <w:sz w:val="20"/>
                <w:szCs w:val="20"/>
              </w:rPr>
            </w:pPr>
            <w:r>
              <w:rPr>
                <w:rFonts w:ascii="Verdana" w:hAnsi="Verdana"/>
                <w:i/>
                <w:noProof/>
                <w:sz w:val="20"/>
                <w:szCs w:val="20"/>
              </w:rPr>
              <w:drawing>
                <wp:anchor distT="0" distB="0" distL="114300" distR="114300" simplePos="0" relativeHeight="251661312" behindDoc="0" locked="0" layoutInCell="1" allowOverlap="1">
                  <wp:simplePos x="0" y="0"/>
                  <wp:positionH relativeFrom="column">
                    <wp:posOffset>3987165</wp:posOffset>
                  </wp:positionH>
                  <wp:positionV relativeFrom="paragraph">
                    <wp:posOffset>45085</wp:posOffset>
                  </wp:positionV>
                  <wp:extent cx="1367155" cy="1600200"/>
                  <wp:effectExtent l="19050" t="0" r="4445" b="0"/>
                  <wp:wrapSquare wrapText="bothSides"/>
                  <wp:docPr id="2" name="Рисунок 1" descr="C:\Documents and Settings\lib\Мои документы\Downloads\Ноам Хом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b\Мои документы\Downloads\Ноам Хомский.jpg"/>
                          <pic:cNvPicPr>
                            <a:picLocks noChangeAspect="1" noChangeArrowheads="1"/>
                          </pic:cNvPicPr>
                        </pic:nvPicPr>
                        <pic:blipFill>
                          <a:blip r:embed="rId26" cstate="print"/>
                          <a:srcRect l="20244" r="22775"/>
                          <a:stretch>
                            <a:fillRect/>
                          </a:stretch>
                        </pic:blipFill>
                        <pic:spPr bwMode="auto">
                          <a:xfrm>
                            <a:off x="0" y="0"/>
                            <a:ext cx="1367155" cy="1600200"/>
                          </a:xfrm>
                          <a:prstGeom prst="rect">
                            <a:avLst/>
                          </a:prstGeom>
                          <a:noFill/>
                          <a:ln w="9525">
                            <a:noFill/>
                            <a:miter lim="800000"/>
                            <a:headEnd/>
                            <a:tailEnd/>
                          </a:ln>
                        </pic:spPr>
                      </pic:pic>
                    </a:graphicData>
                  </a:graphic>
                </wp:anchor>
              </w:drawing>
            </w:r>
            <w:r w:rsidRPr="00281499">
              <w:rPr>
                <w:rFonts w:ascii="Verdana" w:hAnsi="Verdana"/>
                <w:i/>
                <w:sz w:val="20"/>
                <w:szCs w:val="20"/>
              </w:rPr>
              <w:t xml:space="preserve">Хомский Н. Образование. Кому и зачем : </w:t>
            </w:r>
          </w:p>
          <w:p w:rsidR="002A594C" w:rsidRPr="0083332B" w:rsidRDefault="002A594C" w:rsidP="002A594C">
            <w:pPr>
              <w:jc w:val="right"/>
              <w:rPr>
                <w:rFonts w:ascii="Verdana" w:eastAsia="Times New Roman" w:hAnsi="Verdana"/>
                <w:snapToGrid w:val="0"/>
                <w:color w:val="000000"/>
                <w:w w:val="0"/>
                <w:sz w:val="0"/>
                <w:szCs w:val="0"/>
                <w:u w:color="000000"/>
                <w:bdr w:val="none" w:sz="0" w:space="0" w:color="000000"/>
                <w:shd w:val="clear" w:color="000000" w:fill="000000"/>
              </w:rPr>
            </w:pPr>
            <w:r w:rsidRPr="00281499">
              <w:rPr>
                <w:rFonts w:ascii="Verdana" w:hAnsi="Verdana"/>
                <w:i/>
                <w:sz w:val="20"/>
                <w:szCs w:val="20"/>
              </w:rPr>
              <w:t>лекция в ун-те штата Аризона 8 февраля 2012 г</w:t>
            </w:r>
            <w:r w:rsidRPr="00281499">
              <w:rPr>
                <w:rFonts w:ascii="Verdana" w:hAnsi="Verdana"/>
                <w:sz w:val="20"/>
                <w:szCs w:val="20"/>
              </w:rPr>
              <w:t>.</w:t>
            </w:r>
            <w:r w:rsidRPr="00281499">
              <w:rPr>
                <w:rFonts w:ascii="Verdana" w:eastAsia="Times New Roman" w:hAnsi="Verdana"/>
                <w:snapToGrid w:val="0"/>
                <w:color w:val="000000"/>
                <w:w w:val="0"/>
                <w:sz w:val="0"/>
                <w:szCs w:val="0"/>
                <w:u w:color="000000"/>
                <w:bdr w:val="none" w:sz="0" w:space="0" w:color="000000"/>
                <w:shd w:val="clear" w:color="000000" w:fill="000000"/>
              </w:rPr>
              <w:t xml:space="preserve"> </w:t>
            </w:r>
          </w:p>
          <w:p w:rsidR="002A594C" w:rsidRPr="0083332B" w:rsidRDefault="002A594C" w:rsidP="002A594C">
            <w:pPr>
              <w:jc w:val="right"/>
              <w:rPr>
                <w:rFonts w:ascii="Verdana" w:eastAsia="Times New Roman" w:hAnsi="Verdana"/>
                <w:snapToGrid w:val="0"/>
                <w:color w:val="000000"/>
                <w:w w:val="0"/>
                <w:sz w:val="0"/>
                <w:szCs w:val="0"/>
                <w:u w:color="000000"/>
                <w:bdr w:val="none" w:sz="0" w:space="0" w:color="000000"/>
                <w:shd w:val="clear" w:color="000000" w:fill="000000"/>
              </w:rPr>
            </w:pPr>
          </w:p>
          <w:p w:rsidR="002A594C" w:rsidRPr="0083332B" w:rsidRDefault="002A594C" w:rsidP="002A594C">
            <w:pPr>
              <w:jc w:val="right"/>
              <w:rPr>
                <w:rFonts w:ascii="Verdana" w:hAnsi="Verdana"/>
                <w:sz w:val="20"/>
                <w:szCs w:val="20"/>
              </w:rPr>
            </w:pPr>
          </w:p>
          <w:p w:rsidR="002A594C" w:rsidRPr="00D02BEE" w:rsidRDefault="002A594C" w:rsidP="002A594C">
            <w:pPr>
              <w:jc w:val="right"/>
              <w:rPr>
                <w:b/>
                <w:sz w:val="20"/>
                <w:szCs w:val="20"/>
              </w:rPr>
            </w:pPr>
            <w:hyperlink r:id="rId27" w:history="1">
              <w:r w:rsidRPr="00281499">
                <w:rPr>
                  <w:rStyle w:val="a3"/>
                  <w:rFonts w:ascii="Verdana" w:hAnsi="Verdana"/>
                  <w:sz w:val="20"/>
                  <w:szCs w:val="20"/>
                  <w:lang w:val="en-US"/>
                </w:rPr>
                <w:t>https</w:t>
              </w:r>
              <w:r w:rsidRPr="00D02BEE">
                <w:rPr>
                  <w:rStyle w:val="a3"/>
                  <w:rFonts w:ascii="Verdana" w:hAnsi="Verdana"/>
                  <w:sz w:val="20"/>
                  <w:szCs w:val="20"/>
                </w:rPr>
                <w:t>://</w:t>
              </w:r>
              <w:r w:rsidRPr="00281499">
                <w:rPr>
                  <w:rStyle w:val="a3"/>
                  <w:rFonts w:ascii="Verdana" w:hAnsi="Verdana"/>
                  <w:sz w:val="20"/>
                  <w:szCs w:val="20"/>
                  <w:lang w:val="en-US"/>
                </w:rPr>
                <w:t>www</w:t>
              </w:r>
              <w:r w:rsidRPr="00D02BEE">
                <w:rPr>
                  <w:rStyle w:val="a3"/>
                  <w:rFonts w:ascii="Verdana" w:hAnsi="Verdana"/>
                  <w:sz w:val="20"/>
                  <w:szCs w:val="20"/>
                </w:rPr>
                <w:t>.</w:t>
              </w:r>
              <w:r w:rsidRPr="00281499">
                <w:rPr>
                  <w:rStyle w:val="a3"/>
                  <w:rFonts w:ascii="Verdana" w:hAnsi="Verdana"/>
                  <w:sz w:val="20"/>
                  <w:szCs w:val="20"/>
                  <w:lang w:val="en-US"/>
                </w:rPr>
                <w:t>youtube</w:t>
              </w:r>
              <w:r w:rsidRPr="00D02BEE">
                <w:rPr>
                  <w:rStyle w:val="a3"/>
                  <w:rFonts w:ascii="Verdana" w:hAnsi="Verdana"/>
                  <w:sz w:val="20"/>
                  <w:szCs w:val="20"/>
                </w:rPr>
                <w:t>.</w:t>
              </w:r>
              <w:r w:rsidRPr="00281499">
                <w:rPr>
                  <w:rStyle w:val="a3"/>
                  <w:rFonts w:ascii="Verdana" w:hAnsi="Verdana"/>
                  <w:sz w:val="20"/>
                  <w:szCs w:val="20"/>
                  <w:lang w:val="en-US"/>
                </w:rPr>
                <w:t>com</w:t>
              </w:r>
              <w:r w:rsidRPr="00D02BEE">
                <w:rPr>
                  <w:rStyle w:val="a3"/>
                  <w:rFonts w:ascii="Verdana" w:hAnsi="Verdana"/>
                  <w:sz w:val="20"/>
                  <w:szCs w:val="20"/>
                </w:rPr>
                <w:t>/</w:t>
              </w:r>
              <w:r w:rsidRPr="00281499">
                <w:rPr>
                  <w:rStyle w:val="a3"/>
                  <w:rFonts w:ascii="Verdana" w:hAnsi="Verdana"/>
                  <w:sz w:val="20"/>
                  <w:szCs w:val="20"/>
                  <w:lang w:val="en-US"/>
                </w:rPr>
                <w:t>watch</w:t>
              </w:r>
              <w:r w:rsidRPr="00D02BEE">
                <w:rPr>
                  <w:rStyle w:val="a3"/>
                  <w:rFonts w:ascii="Verdana" w:hAnsi="Verdana"/>
                  <w:sz w:val="20"/>
                  <w:szCs w:val="20"/>
                </w:rPr>
                <w:t>?</w:t>
              </w:r>
              <w:r w:rsidRPr="00281499">
                <w:rPr>
                  <w:rStyle w:val="a3"/>
                  <w:rFonts w:ascii="Verdana" w:hAnsi="Verdana"/>
                  <w:sz w:val="20"/>
                  <w:szCs w:val="20"/>
                  <w:lang w:val="en-US"/>
                </w:rPr>
                <w:t>v</w:t>
              </w:r>
              <w:r w:rsidRPr="00D02BEE">
                <w:rPr>
                  <w:rStyle w:val="a3"/>
                  <w:rFonts w:ascii="Verdana" w:hAnsi="Verdana"/>
                  <w:sz w:val="20"/>
                  <w:szCs w:val="20"/>
                </w:rPr>
                <w:t>=</w:t>
              </w:r>
              <w:r w:rsidRPr="00281499">
                <w:rPr>
                  <w:rStyle w:val="a3"/>
                  <w:rFonts w:ascii="Verdana" w:hAnsi="Verdana"/>
                  <w:sz w:val="20"/>
                  <w:szCs w:val="20"/>
                  <w:lang w:val="en-US"/>
                </w:rPr>
                <w:t>oj</w:t>
              </w:r>
              <w:r w:rsidRPr="00D02BEE">
                <w:rPr>
                  <w:rStyle w:val="a3"/>
                  <w:rFonts w:ascii="Verdana" w:hAnsi="Verdana"/>
                  <w:sz w:val="20"/>
                  <w:szCs w:val="20"/>
                </w:rPr>
                <w:t>9</w:t>
              </w:r>
              <w:r w:rsidRPr="00281499">
                <w:rPr>
                  <w:rStyle w:val="a3"/>
                  <w:rFonts w:ascii="Verdana" w:hAnsi="Verdana"/>
                  <w:sz w:val="20"/>
                  <w:szCs w:val="20"/>
                  <w:lang w:val="en-US"/>
                </w:rPr>
                <w:t>VqXtg</w:t>
              </w:r>
              <w:r w:rsidRPr="00D02BEE">
                <w:rPr>
                  <w:rStyle w:val="a3"/>
                  <w:rFonts w:ascii="Verdana" w:hAnsi="Verdana"/>
                  <w:sz w:val="20"/>
                  <w:szCs w:val="20"/>
                </w:rPr>
                <w:t>1</w:t>
              </w:r>
              <w:r w:rsidRPr="00281499">
                <w:rPr>
                  <w:rStyle w:val="a3"/>
                  <w:rFonts w:ascii="Verdana" w:hAnsi="Verdana"/>
                  <w:sz w:val="20"/>
                  <w:szCs w:val="20"/>
                  <w:lang w:val="en-US"/>
                </w:rPr>
                <w:t>cg</w:t>
              </w:r>
            </w:hyperlink>
            <w:r w:rsidRPr="00D02BEE">
              <w:rPr>
                <w:rFonts w:ascii="Verdana" w:hAnsi="Verdana"/>
                <w:sz w:val="20"/>
                <w:szCs w:val="20"/>
              </w:rPr>
              <w:t xml:space="preserve"> </w:t>
            </w:r>
          </w:p>
          <w:p w:rsidR="002A594C" w:rsidRPr="00D02BEE" w:rsidRDefault="002A594C" w:rsidP="002A594C">
            <w:pPr>
              <w:pStyle w:val="1"/>
              <w:jc w:val="right"/>
            </w:pPr>
            <w:bookmarkStart w:id="18" w:name="_Toc67991250"/>
          </w:p>
          <w:p w:rsidR="002A594C" w:rsidRPr="00D02BEE" w:rsidRDefault="002A594C" w:rsidP="002A594C">
            <w:pPr>
              <w:pStyle w:val="1"/>
              <w:jc w:val="right"/>
              <w:rPr>
                <w:rFonts w:ascii="Verdana" w:hAnsi="Verdana"/>
                <w:sz w:val="24"/>
                <w:szCs w:val="24"/>
              </w:rPr>
            </w:pPr>
          </w:p>
          <w:p w:rsidR="002A594C" w:rsidRDefault="002A594C" w:rsidP="002A594C">
            <w:pPr>
              <w:pStyle w:val="1"/>
              <w:jc w:val="right"/>
              <w:rPr>
                <w:rFonts w:ascii="Verdana" w:hAnsi="Verdana"/>
                <w:sz w:val="24"/>
                <w:szCs w:val="24"/>
              </w:rPr>
            </w:pPr>
          </w:p>
          <w:p w:rsidR="002A594C" w:rsidRPr="00281499" w:rsidRDefault="002A594C" w:rsidP="002A594C">
            <w:pPr>
              <w:pStyle w:val="1"/>
              <w:jc w:val="right"/>
              <w:rPr>
                <w:rFonts w:ascii="Verdana" w:hAnsi="Verdana"/>
                <w:sz w:val="24"/>
                <w:szCs w:val="24"/>
              </w:rPr>
            </w:pPr>
            <w:bookmarkStart w:id="19" w:name="_Toc68529148"/>
            <w:r w:rsidRPr="00281499">
              <w:rPr>
                <w:rFonts w:ascii="Verdana" w:hAnsi="Verdana"/>
                <w:sz w:val="24"/>
                <w:szCs w:val="24"/>
              </w:rPr>
              <w:t>Произведения</w:t>
            </w:r>
            <w:bookmarkEnd w:id="18"/>
            <w:bookmarkEnd w:id="19"/>
          </w:p>
          <w:p w:rsidR="002A594C" w:rsidRPr="00281499" w:rsidRDefault="002A594C" w:rsidP="002A594C">
            <w:pPr>
              <w:rPr>
                <w:rFonts w:ascii="Verdana" w:hAnsi="Verdana"/>
                <w:sz w:val="20"/>
                <w:szCs w:val="20"/>
              </w:rPr>
            </w:pPr>
            <w:r>
              <w:rPr>
                <w:rFonts w:ascii="Verdana" w:hAnsi="Verdana"/>
                <w:noProof/>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17145</wp:posOffset>
                  </wp:positionV>
                  <wp:extent cx="1177290" cy="1781175"/>
                  <wp:effectExtent l="171450" t="133350" r="365760" b="314325"/>
                  <wp:wrapSquare wrapText="bothSides"/>
                  <wp:docPr id="1" name="Рисунок 1" descr="C:\Documents and Settings\lib\Мои документы\Мои рисунки\Проза_обложка_3_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b\Мои документы\Мои рисунки\Проза_обложка_3_ред.jpg"/>
                          <pic:cNvPicPr>
                            <a:picLocks noChangeAspect="1" noChangeArrowheads="1"/>
                          </pic:cNvPicPr>
                        </pic:nvPicPr>
                        <pic:blipFill>
                          <a:blip r:embed="rId28" cstate="print"/>
                          <a:srcRect/>
                          <a:stretch>
                            <a:fillRect/>
                          </a:stretch>
                        </pic:blipFill>
                        <pic:spPr bwMode="auto">
                          <a:xfrm>
                            <a:off x="0" y="0"/>
                            <a:ext cx="1177290" cy="1781175"/>
                          </a:xfrm>
                          <a:prstGeom prst="rect">
                            <a:avLst/>
                          </a:prstGeom>
                          <a:ln>
                            <a:noFill/>
                          </a:ln>
                          <a:effectLst>
                            <a:outerShdw blurRad="292100" dist="139700" dir="2700000" algn="tl" rotWithShape="0">
                              <a:srgbClr val="333333">
                                <a:alpha val="65000"/>
                              </a:srgbClr>
                            </a:outerShdw>
                          </a:effectLst>
                        </pic:spPr>
                      </pic:pic>
                    </a:graphicData>
                  </a:graphic>
                </wp:anchor>
              </w:drawing>
            </w:r>
            <w:r w:rsidRPr="00281499">
              <w:rPr>
                <w:rFonts w:ascii="Verdana" w:hAnsi="Verdana"/>
                <w:sz w:val="20"/>
                <w:szCs w:val="20"/>
              </w:rPr>
              <w:t>тридцати современных авторов собраны под одной обложкой. Настоящий  Ноев ковчег? Вл. Войнович, Вл. Маканин, Л. Улицкая, М. Палей, В. Пелевин, В. Ерофеев, С. Довлатов, Ю. Поляков, Е. Попов и еще два десятка знакомых современному читателю имён создали достоверную картину русской прозы и русской жизни нашего времени.</w:t>
            </w:r>
          </w:p>
          <w:p w:rsidR="002A594C" w:rsidRDefault="002A594C" w:rsidP="002A594C">
            <w:pPr>
              <w:jc w:val="right"/>
              <w:rPr>
                <w:rFonts w:ascii="Verdana" w:eastAsia="Times New Roman" w:hAnsi="Verdana"/>
                <w:b/>
                <w:bCs/>
                <w:i/>
                <w:sz w:val="20"/>
                <w:szCs w:val="20"/>
              </w:rPr>
            </w:pPr>
          </w:p>
          <w:p w:rsidR="002A594C" w:rsidRPr="00281499" w:rsidRDefault="002A594C" w:rsidP="002A594C">
            <w:pPr>
              <w:jc w:val="right"/>
              <w:rPr>
                <w:rFonts w:ascii="Verdana" w:hAnsi="Verdana"/>
                <w:b/>
                <w:i/>
                <w:sz w:val="20"/>
                <w:szCs w:val="20"/>
              </w:rPr>
            </w:pPr>
            <w:r w:rsidRPr="00281499">
              <w:rPr>
                <w:rFonts w:ascii="Verdana" w:eastAsia="Times New Roman" w:hAnsi="Verdana"/>
                <w:b/>
                <w:bCs/>
                <w:i/>
                <w:sz w:val="20"/>
                <w:szCs w:val="20"/>
              </w:rPr>
              <w:t>Русская проза конца XX века. Хрестоматия</w:t>
            </w:r>
            <w:r w:rsidRPr="00281499">
              <w:rPr>
                <w:rFonts w:ascii="Verdana" w:eastAsia="Times New Roman" w:hAnsi="Verdana"/>
                <w:i/>
                <w:sz w:val="20"/>
                <w:szCs w:val="20"/>
              </w:rPr>
              <w:t xml:space="preserve"> :   </w:t>
            </w:r>
            <w:r>
              <w:rPr>
                <w:rFonts w:ascii="Verdana" w:eastAsia="Times New Roman" w:hAnsi="Verdana"/>
                <w:i/>
                <w:sz w:val="20"/>
                <w:szCs w:val="20"/>
              </w:rPr>
              <w:t xml:space="preserve">учеб. пособие для вузов </w:t>
            </w:r>
            <w:r w:rsidRPr="00281499">
              <w:rPr>
                <w:rFonts w:ascii="Verdana" w:eastAsia="Times New Roman" w:hAnsi="Verdana"/>
                <w:i/>
                <w:sz w:val="20"/>
                <w:szCs w:val="20"/>
              </w:rPr>
              <w:t xml:space="preserve"> - Москва : Академия, 2007. - 640 с.</w:t>
            </w:r>
          </w:p>
          <w:p w:rsidR="002A594C" w:rsidRDefault="002A594C" w:rsidP="002A594C"/>
          <w:p w:rsidR="002A594C" w:rsidRDefault="002A594C" w:rsidP="002A594C">
            <w:pPr>
              <w:jc w:val="center"/>
              <w:rPr>
                <w:rFonts w:ascii="Verdana" w:hAnsi="Verdana"/>
                <w:i/>
              </w:rPr>
            </w:pPr>
          </w:p>
          <w:p w:rsidR="002A594C" w:rsidRDefault="002A594C" w:rsidP="002A594C">
            <w:pPr>
              <w:jc w:val="center"/>
              <w:rPr>
                <w:rFonts w:ascii="Verdana" w:hAnsi="Verdana"/>
                <w:i/>
              </w:rPr>
            </w:pPr>
          </w:p>
          <w:p w:rsidR="002A594C" w:rsidRPr="00D02BEE" w:rsidRDefault="002A594C" w:rsidP="002A594C">
            <w:pPr>
              <w:jc w:val="center"/>
              <w:rPr>
                <w:rFonts w:ascii="Verdana" w:hAnsi="Verdana"/>
                <w:i/>
              </w:rPr>
            </w:pPr>
            <w:r w:rsidRPr="00D02BEE">
              <w:rPr>
                <w:rFonts w:ascii="Verdana" w:hAnsi="Verdana"/>
                <w:i/>
              </w:rPr>
              <w:t>Повышай квалификацию с библиотекой ПВГУС!</w:t>
            </w:r>
          </w:p>
          <w:p w:rsidR="002A594C" w:rsidRPr="00CD6797" w:rsidRDefault="002A594C">
            <w:pPr>
              <w:rPr>
                <w:rFonts w:ascii="Verdana" w:eastAsia="Times New Roman" w:hAnsi="Verdana"/>
                <w:color w:val="1F497D" w:themeColor="text2"/>
                <w:sz w:val="20"/>
                <w:szCs w:val="20"/>
              </w:rPr>
            </w:pPr>
          </w:p>
          <w:p w:rsidR="00CD6797" w:rsidRPr="00CD6797" w:rsidRDefault="00CD6797" w:rsidP="00CD6797">
            <w:pPr>
              <w:jc w:val="cente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Составители: С. Р. Милихина, зав. отделом НБ; Н. Г. Самойленко, методист</w:t>
            </w:r>
          </w:p>
          <w:p w:rsidR="00CD6797" w:rsidRPr="00CD6797" w:rsidRDefault="00CD6797" w:rsidP="00CD6797">
            <w:pPr>
              <w:jc w:val="center"/>
              <w:rPr>
                <w:rFonts w:ascii="Verdana" w:eastAsia="Times New Roman" w:hAnsi="Verdana"/>
                <w:color w:val="1F497D" w:themeColor="text2"/>
                <w:sz w:val="20"/>
                <w:szCs w:val="20"/>
              </w:rPr>
            </w:pPr>
          </w:p>
          <w:p w:rsidR="00CD6797" w:rsidRPr="00CD6797" w:rsidRDefault="00CD6797" w:rsidP="00CD6797">
            <w:pPr>
              <w:jc w:val="center"/>
              <w:rPr>
                <w:rFonts w:ascii="Verdana" w:eastAsia="Times New Roman" w:hAnsi="Verdana"/>
                <w:color w:val="1F497D" w:themeColor="text2"/>
                <w:sz w:val="20"/>
                <w:szCs w:val="20"/>
              </w:rPr>
            </w:pPr>
            <w:r w:rsidRPr="00CD6797">
              <w:rPr>
                <w:rFonts w:ascii="Verdana" w:eastAsia="Times New Roman" w:hAnsi="Verdana"/>
                <w:color w:val="1F497D" w:themeColor="text2"/>
                <w:sz w:val="20"/>
                <w:szCs w:val="20"/>
              </w:rPr>
              <w:t>02.04.2021 г.</w:t>
            </w:r>
          </w:p>
        </w:tc>
      </w:tr>
    </w:tbl>
    <w:p w:rsidR="007106CE" w:rsidRPr="00CD6797" w:rsidRDefault="007106CE">
      <w:pPr>
        <w:rPr>
          <w:rFonts w:ascii="Verdana" w:eastAsia="Times New Roman" w:hAnsi="Verdana"/>
          <w:color w:val="1F497D" w:themeColor="text2"/>
          <w:sz w:val="20"/>
          <w:szCs w:val="20"/>
        </w:rPr>
      </w:pPr>
    </w:p>
    <w:sectPr w:rsidR="007106CE" w:rsidRPr="00CD6797" w:rsidSect="00BB03B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2F" w:rsidRDefault="0091422F" w:rsidP="007C2CD7">
      <w:r>
        <w:separator/>
      </w:r>
    </w:p>
  </w:endnote>
  <w:endnote w:type="continuationSeparator" w:id="0">
    <w:p w:rsidR="0091422F" w:rsidRDefault="0091422F" w:rsidP="007C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2F" w:rsidRDefault="0091422F" w:rsidP="007C2CD7">
      <w:r>
        <w:separator/>
      </w:r>
    </w:p>
  </w:footnote>
  <w:footnote w:type="continuationSeparator" w:id="0">
    <w:p w:rsidR="0091422F" w:rsidRDefault="0091422F" w:rsidP="007C2CD7">
      <w:r>
        <w:continuationSeparator/>
      </w:r>
    </w:p>
  </w:footnote>
  <w:footnote w:id="1">
    <w:p w:rsidR="0091422F" w:rsidRDefault="0091422F" w:rsidP="007C2CD7">
      <w:pPr>
        <w:pStyle w:val="a5"/>
      </w:pPr>
      <w:r>
        <w:rPr>
          <w:rStyle w:val="a7"/>
        </w:rPr>
        <w:footnoteRef/>
      </w:r>
      <w:r>
        <w:t xml:space="preserve"> </w:t>
      </w:r>
      <w:r w:rsidRPr="007470A9">
        <w:rPr>
          <w:sz w:val="18"/>
          <w:szCs w:val="18"/>
        </w:rPr>
        <w:t>Все издания доступны сотрудникам и студентам ПВГУС</w:t>
      </w:r>
    </w:p>
  </w:footnote>
  <w:footnote w:id="2">
    <w:p w:rsidR="0091422F" w:rsidRDefault="0091422F" w:rsidP="00CD6797">
      <w:pPr>
        <w:pStyle w:val="a8"/>
      </w:pPr>
      <w:r>
        <w:rPr>
          <w:rStyle w:val="a7"/>
        </w:rPr>
        <w:footnoteRef/>
      </w:r>
      <w:r>
        <w:t xml:space="preserve"> </w:t>
      </w:r>
      <w:r w:rsidRPr="007470A9">
        <w:rPr>
          <w:rFonts w:ascii="Verdana" w:hAnsi="Verdana"/>
          <w:color w:val="000000" w:themeColor="text1"/>
          <w:sz w:val="18"/>
          <w:szCs w:val="18"/>
        </w:rPr>
        <w:t xml:space="preserve">С новыми книгами, полученными библиотекой, можно ознакомиться на сайте университета по ссылке: </w:t>
      </w:r>
      <w:hyperlink r:id="rId1" w:history="1">
        <w:r w:rsidRPr="007470A9">
          <w:rPr>
            <w:rStyle w:val="a3"/>
            <w:rFonts w:ascii="Verdana" w:hAnsi="Verdana"/>
            <w:color w:val="000000" w:themeColor="text1"/>
            <w:sz w:val="18"/>
            <w:szCs w:val="18"/>
          </w:rPr>
          <w:t>http://www.tolgas.ru/org_structura/library/bilio_novinki/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B03BE"/>
    <w:rsid w:val="00135751"/>
    <w:rsid w:val="002A594C"/>
    <w:rsid w:val="00435ABC"/>
    <w:rsid w:val="006674D0"/>
    <w:rsid w:val="007106CE"/>
    <w:rsid w:val="007C2CD7"/>
    <w:rsid w:val="0091422F"/>
    <w:rsid w:val="00BB03BE"/>
    <w:rsid w:val="00CD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CE"/>
    <w:rPr>
      <w:rFonts w:eastAsiaTheme="minorEastAsia"/>
      <w:color w:val="000088"/>
      <w:sz w:val="24"/>
      <w:szCs w:val="24"/>
    </w:rPr>
  </w:style>
  <w:style w:type="paragraph" w:styleId="1">
    <w:name w:val="heading 1"/>
    <w:basedOn w:val="3"/>
    <w:next w:val="a"/>
    <w:link w:val="10"/>
    <w:uiPriority w:val="9"/>
    <w:qFormat/>
    <w:rsid w:val="00135751"/>
    <w:pPr>
      <w:jc w:val="center"/>
      <w:outlineLvl w:val="0"/>
    </w:pPr>
  </w:style>
  <w:style w:type="paragraph" w:styleId="2">
    <w:name w:val="heading 2"/>
    <w:basedOn w:val="a"/>
    <w:link w:val="20"/>
    <w:uiPriority w:val="9"/>
    <w:qFormat/>
    <w:rsid w:val="007106CE"/>
    <w:pPr>
      <w:spacing w:before="100" w:beforeAutospacing="1" w:after="100" w:afterAutospacing="1"/>
      <w:outlineLvl w:val="1"/>
    </w:pPr>
    <w:rPr>
      <w:b/>
      <w:bCs/>
      <w:sz w:val="36"/>
      <w:szCs w:val="36"/>
    </w:rPr>
  </w:style>
  <w:style w:type="paragraph" w:styleId="3">
    <w:name w:val="heading 3"/>
    <w:basedOn w:val="a"/>
    <w:link w:val="30"/>
    <w:uiPriority w:val="9"/>
    <w:qFormat/>
    <w:rsid w:val="007106CE"/>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6CE"/>
    <w:rPr>
      <w:color w:val="0000FF"/>
      <w:u w:val="single"/>
    </w:rPr>
  </w:style>
  <w:style w:type="character" w:styleId="a4">
    <w:name w:val="FollowedHyperlink"/>
    <w:basedOn w:val="a0"/>
    <w:uiPriority w:val="99"/>
    <w:semiHidden/>
    <w:unhideWhenUsed/>
    <w:rsid w:val="007106CE"/>
    <w:rPr>
      <w:color w:val="000077"/>
      <w:u w:val="single"/>
    </w:rPr>
  </w:style>
  <w:style w:type="character" w:customStyle="1" w:styleId="30">
    <w:name w:val="Заголовок 3 Знак"/>
    <w:basedOn w:val="a0"/>
    <w:link w:val="3"/>
    <w:uiPriority w:val="9"/>
    <w:semiHidden/>
    <w:rsid w:val="007106CE"/>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7106CE"/>
    <w:rPr>
      <w:rFonts w:asciiTheme="majorHAnsi" w:eastAsiaTheme="majorEastAsia" w:hAnsiTheme="majorHAnsi" w:cstheme="majorBidi"/>
      <w:b/>
      <w:bCs/>
      <w:color w:val="4F81BD" w:themeColor="accent1"/>
      <w:sz w:val="26"/>
      <w:szCs w:val="26"/>
    </w:rPr>
  </w:style>
  <w:style w:type="paragraph" w:styleId="a5">
    <w:name w:val="endnote text"/>
    <w:basedOn w:val="a"/>
    <w:link w:val="a6"/>
    <w:uiPriority w:val="99"/>
    <w:unhideWhenUsed/>
    <w:rsid w:val="007C2CD7"/>
    <w:rPr>
      <w:rFonts w:asciiTheme="minorHAnsi" w:eastAsiaTheme="minorHAnsi" w:hAnsiTheme="minorHAnsi" w:cstheme="minorBidi"/>
      <w:color w:val="auto"/>
      <w:sz w:val="20"/>
      <w:szCs w:val="20"/>
      <w:lang w:eastAsia="en-US"/>
    </w:rPr>
  </w:style>
  <w:style w:type="character" w:customStyle="1" w:styleId="a6">
    <w:name w:val="Текст концевой сноски Знак"/>
    <w:basedOn w:val="a0"/>
    <w:link w:val="a5"/>
    <w:uiPriority w:val="99"/>
    <w:rsid w:val="007C2CD7"/>
    <w:rPr>
      <w:rFonts w:asciiTheme="minorHAnsi" w:eastAsiaTheme="minorHAnsi" w:hAnsiTheme="minorHAnsi" w:cstheme="minorBidi"/>
      <w:lang w:eastAsia="en-US"/>
    </w:rPr>
  </w:style>
  <w:style w:type="character" w:styleId="a7">
    <w:name w:val="footnote reference"/>
    <w:basedOn w:val="a0"/>
    <w:uiPriority w:val="99"/>
    <w:semiHidden/>
    <w:unhideWhenUsed/>
    <w:rsid w:val="007C2CD7"/>
    <w:rPr>
      <w:vertAlign w:val="superscript"/>
    </w:rPr>
  </w:style>
  <w:style w:type="character" w:customStyle="1" w:styleId="10">
    <w:name w:val="Заголовок 1 Знак"/>
    <w:basedOn w:val="a0"/>
    <w:link w:val="1"/>
    <w:uiPriority w:val="9"/>
    <w:rsid w:val="00135751"/>
    <w:rPr>
      <w:rFonts w:eastAsiaTheme="minorEastAsia"/>
      <w:b/>
      <w:bCs/>
      <w:color w:val="000088"/>
      <w:sz w:val="27"/>
      <w:szCs w:val="27"/>
    </w:rPr>
  </w:style>
  <w:style w:type="paragraph" w:styleId="a8">
    <w:name w:val="footnote text"/>
    <w:basedOn w:val="a"/>
    <w:link w:val="a9"/>
    <w:uiPriority w:val="99"/>
    <w:semiHidden/>
    <w:unhideWhenUsed/>
    <w:rsid w:val="00CD6797"/>
    <w:rPr>
      <w:sz w:val="20"/>
      <w:szCs w:val="20"/>
    </w:rPr>
  </w:style>
  <w:style w:type="character" w:customStyle="1" w:styleId="a9">
    <w:name w:val="Текст сноски Знак"/>
    <w:basedOn w:val="a0"/>
    <w:link w:val="a8"/>
    <w:uiPriority w:val="99"/>
    <w:semiHidden/>
    <w:rsid w:val="00CD6797"/>
    <w:rPr>
      <w:rFonts w:eastAsiaTheme="minorEastAsia"/>
      <w:color w:val="000088"/>
    </w:rPr>
  </w:style>
  <w:style w:type="paragraph" w:styleId="aa">
    <w:name w:val="TOC Heading"/>
    <w:basedOn w:val="1"/>
    <w:next w:val="a"/>
    <w:uiPriority w:val="39"/>
    <w:semiHidden/>
    <w:unhideWhenUsed/>
    <w:qFormat/>
    <w:rsid w:val="00135751"/>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31">
    <w:name w:val="toc 3"/>
    <w:basedOn w:val="a"/>
    <w:next w:val="a"/>
    <w:autoRedefine/>
    <w:uiPriority w:val="39"/>
    <w:unhideWhenUsed/>
    <w:rsid w:val="00135751"/>
    <w:pPr>
      <w:spacing w:after="100"/>
      <w:ind w:left="480"/>
    </w:pPr>
  </w:style>
  <w:style w:type="paragraph" w:styleId="21">
    <w:name w:val="toc 2"/>
    <w:basedOn w:val="a"/>
    <w:next w:val="a"/>
    <w:autoRedefine/>
    <w:uiPriority w:val="39"/>
    <w:unhideWhenUsed/>
    <w:rsid w:val="00135751"/>
    <w:pPr>
      <w:spacing w:after="100"/>
      <w:ind w:left="240"/>
    </w:pPr>
  </w:style>
  <w:style w:type="paragraph" w:styleId="11">
    <w:name w:val="toc 1"/>
    <w:basedOn w:val="a"/>
    <w:next w:val="a"/>
    <w:autoRedefine/>
    <w:uiPriority w:val="39"/>
    <w:unhideWhenUsed/>
    <w:rsid w:val="00135751"/>
    <w:pPr>
      <w:tabs>
        <w:tab w:val="right" w:leader="dot" w:pos="10456"/>
      </w:tabs>
      <w:spacing w:after="100"/>
    </w:pPr>
    <w:rPr>
      <w:rFonts w:ascii="Verdana" w:hAnsi="Verdana"/>
      <w:b/>
      <w:noProof/>
    </w:rPr>
  </w:style>
  <w:style w:type="paragraph" w:styleId="ab">
    <w:name w:val="Balloon Text"/>
    <w:basedOn w:val="a"/>
    <w:link w:val="ac"/>
    <w:uiPriority w:val="99"/>
    <w:semiHidden/>
    <w:unhideWhenUsed/>
    <w:rsid w:val="00135751"/>
    <w:rPr>
      <w:rFonts w:ascii="Tahoma" w:hAnsi="Tahoma" w:cs="Tahoma"/>
      <w:sz w:val="16"/>
      <w:szCs w:val="16"/>
    </w:rPr>
  </w:style>
  <w:style w:type="character" w:customStyle="1" w:styleId="ac">
    <w:name w:val="Текст выноски Знак"/>
    <w:basedOn w:val="a0"/>
    <w:link w:val="ab"/>
    <w:uiPriority w:val="99"/>
    <w:semiHidden/>
    <w:rsid w:val="00135751"/>
    <w:rPr>
      <w:rFonts w:ascii="Tahoma" w:eastAsiaTheme="minorEastAsia" w:hAnsi="Tahoma" w:cs="Tahoma"/>
      <w:color w:val="000088"/>
      <w:sz w:val="16"/>
      <w:szCs w:val="16"/>
    </w:rPr>
  </w:style>
  <w:style w:type="character" w:styleId="ad">
    <w:name w:val="Intense Emphasis"/>
    <w:basedOn w:val="a0"/>
    <w:uiPriority w:val="21"/>
    <w:qFormat/>
    <w:rsid w:val="0091422F"/>
    <w:rPr>
      <w:b/>
      <w:bCs/>
      <w:i/>
      <w:iCs/>
      <w:color w:val="4F81BD" w:themeColor="accent1"/>
    </w:rPr>
  </w:style>
  <w:style w:type="character" w:styleId="ae">
    <w:name w:val="Book Title"/>
    <w:basedOn w:val="a0"/>
    <w:uiPriority w:val="33"/>
    <w:qFormat/>
    <w:rsid w:val="0091422F"/>
    <w:rPr>
      <w:b/>
      <w:bCs/>
      <w:smallCaps/>
      <w:spacing w:val="5"/>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59588" TargetMode="External"/><Relationship Id="rId13" Type="http://schemas.openxmlformats.org/officeDocument/2006/relationships/hyperlink" Target="https://znanium.com/read?id=360475" TargetMode="External"/><Relationship Id="rId18" Type="http://schemas.openxmlformats.org/officeDocument/2006/relationships/hyperlink" Target="https://rjmf.econs.online/upload/iblock/f40/Struktura_bankovskoy_gruppy_i_riski.pdf"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rjmf.econs.online/upload/iblock/7c6/Mezhstranovaya-BVAR-model-vneshnego-sektora.pdf" TargetMode="External"/><Relationship Id="rId7" Type="http://schemas.openxmlformats.org/officeDocument/2006/relationships/image" Target="media/image1.jpeg"/><Relationship Id="rId12" Type="http://schemas.openxmlformats.org/officeDocument/2006/relationships/hyperlink" Target="https://znanium.com/read?id=356078" TargetMode="External"/><Relationship Id="rId17" Type="http://schemas.openxmlformats.org/officeDocument/2006/relationships/hyperlink" Target="https://rjmf.econs.online/upload/iblock/084/IBRN_vzaimodeystviye_DKP_i_prudentsialnoy_politiki.pdf" TargetMode="External"/><Relationship Id="rId25" Type="http://schemas.openxmlformats.org/officeDocument/2006/relationships/hyperlink" Target="https://znanium.com/read?id=368907" TargetMode="External"/><Relationship Id="rId2" Type="http://schemas.openxmlformats.org/officeDocument/2006/relationships/styles" Target="styles.xml"/><Relationship Id="rId16" Type="http://schemas.openxmlformats.org/officeDocument/2006/relationships/hyperlink" Target="https://rjmf.econs.online/upload/iblock/97f/Kanal_prinyatiya_riska_DKP_v_Rossii.pdf" TargetMode="External"/><Relationship Id="rId20" Type="http://schemas.openxmlformats.org/officeDocument/2006/relationships/hyperlink" Target="https://rjmf.econs.online/upload/iblock/b8d/Otsenka-posledstviy-pandemii-dlya-ekonomiki-Rossi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nanium.com/read?id=363000" TargetMode="External"/><Relationship Id="rId24" Type="http://schemas.openxmlformats.org/officeDocument/2006/relationships/hyperlink" Target="https://znanium.com/read?id=368827" TargetMode="External"/><Relationship Id="rId5" Type="http://schemas.openxmlformats.org/officeDocument/2006/relationships/footnotes" Target="footnotes.xml"/><Relationship Id="rId15" Type="http://schemas.openxmlformats.org/officeDocument/2006/relationships/hyperlink" Target="https://rjmf.econs.online/upload/iblock/767/Metody_rascheta_operezhayushchego_indikatora_VRP.pdf" TargetMode="External"/><Relationship Id="rId23" Type="http://schemas.openxmlformats.org/officeDocument/2006/relationships/hyperlink" Target="https://znanium.com/read?id=368805" TargetMode="External"/><Relationship Id="rId28" Type="http://schemas.openxmlformats.org/officeDocument/2006/relationships/image" Target="media/image3.jpeg"/><Relationship Id="rId10" Type="http://schemas.openxmlformats.org/officeDocument/2006/relationships/hyperlink" Target="https://znanium.com/read?id=354033" TargetMode="External"/><Relationship Id="rId19" Type="http://schemas.openxmlformats.org/officeDocument/2006/relationships/hyperlink" Target="https://rjmf.econs.online/upload/iblock/c8b/Prognozirovaniye-na-osnove-informatsii-v-novostyakh-i-poiskovykh-zaprosakh.pdf" TargetMode="External"/><Relationship Id="rId4" Type="http://schemas.openxmlformats.org/officeDocument/2006/relationships/webSettings" Target="webSettings.xml"/><Relationship Id="rId9" Type="http://schemas.openxmlformats.org/officeDocument/2006/relationships/hyperlink" Target="https://znanium.com/read?id=374251" TargetMode="External"/><Relationship Id="rId14" Type="http://schemas.openxmlformats.org/officeDocument/2006/relationships/hyperlink" Target="https://rjmf.econs.online/upload/iblock/896/Finansovyye-shoki-i-kreditnyye-tsikly.pdf" TargetMode="External"/><Relationship Id="rId22" Type="http://schemas.openxmlformats.org/officeDocument/2006/relationships/hyperlink" Target="https://urait.ru/viewer/monahinya-456725" TargetMode="External"/><Relationship Id="rId27" Type="http://schemas.openxmlformats.org/officeDocument/2006/relationships/hyperlink" Target="https://www.youtube.com/watch?v=oj9VqXtg1c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olgas.ru/org_structura/library/bilio_novin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0ED80-1A85-4733-AF78-52093445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2447</Words>
  <Characters>17541</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Бюллетень (библиографические ссылки)</vt:lpstr>
    </vt:vector>
  </TitlesOfParts>
  <Company>TGUS</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(библиографические ссылки)</dc:title>
  <dc:subject/>
  <dc:creator>lib</dc:creator>
  <cp:keywords/>
  <dc:description/>
  <cp:lastModifiedBy>Library</cp:lastModifiedBy>
  <cp:revision>4</cp:revision>
  <dcterms:created xsi:type="dcterms:W3CDTF">2021-04-02T07:03:00Z</dcterms:created>
  <dcterms:modified xsi:type="dcterms:W3CDTF">2021-04-05T11:37:00Z</dcterms:modified>
</cp:coreProperties>
</file>