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47" w:rsidRPr="00DC4D01" w:rsidRDefault="009D6B47" w:rsidP="00165D65">
      <w:pPr>
        <w:jc w:val="center"/>
        <w:rPr>
          <w:rFonts w:ascii="Verdana" w:eastAsia="Times New Roman" w:hAnsi="Verdana"/>
          <w:b/>
          <w:bCs/>
          <w:color w:val="1F497D" w:themeColor="text2"/>
        </w:rPr>
      </w:pPr>
      <w:bookmarkStart w:id="0" w:name="_Toc21012351"/>
      <w:bookmarkStart w:id="1" w:name="_Toc21073570"/>
      <w:bookmarkStart w:id="2" w:name="_Toc21077440"/>
      <w:bookmarkStart w:id="3" w:name="_Toc21509321"/>
      <w:bookmarkStart w:id="4" w:name="_Toc21532576"/>
      <w:bookmarkStart w:id="5" w:name="_Toc21941496"/>
      <w:bookmarkStart w:id="6" w:name="_Toc21956344"/>
      <w:bookmarkStart w:id="7" w:name="_Toc36218439"/>
      <w:bookmarkStart w:id="8" w:name="_Toc68691768"/>
      <w:r w:rsidRPr="00165D65">
        <w:t>БИБЛИОТЕКА ПРЕДСТАВЛЯЕТ</w:t>
      </w:r>
      <w:r w:rsidRPr="00DC4D01">
        <w:rPr>
          <w:rStyle w:val="a7"/>
          <w:rFonts w:ascii="Verdana" w:eastAsia="Times New Roman" w:hAnsi="Verdana"/>
          <w:b/>
          <w:bCs/>
          <w:color w:val="1F497D" w:themeColor="text2"/>
        </w:rPr>
        <w:endnoteReference w:id="1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D6B47" w:rsidRPr="000B0E17" w:rsidRDefault="009D6B47" w:rsidP="00165D65">
      <w:pPr>
        <w:jc w:val="center"/>
        <w:rPr>
          <w:rFonts w:eastAsia="Times New Roman"/>
        </w:rPr>
      </w:pPr>
      <w:bookmarkStart w:id="9" w:name="_Toc21956345"/>
      <w:bookmarkStart w:id="10" w:name="_Toc36218440"/>
      <w:r w:rsidRPr="00DC4D01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64770</wp:posOffset>
            </wp:positionV>
            <wp:extent cx="2582545" cy="1400175"/>
            <wp:effectExtent l="19050" t="0" r="8255" b="0"/>
            <wp:wrapNone/>
            <wp:docPr id="1" name="Рисунок 1" descr="Коллажи-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ажи-загад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1" w:name="_Toc68691769"/>
      <w:r w:rsidRPr="00DC4D01">
        <w:rPr>
          <w:rFonts w:eastAsia="Times New Roman"/>
        </w:rPr>
        <w:t>Кафедре «Управление качеством и инновационные технологии»</w:t>
      </w:r>
      <w:bookmarkEnd w:id="9"/>
      <w:bookmarkEnd w:id="10"/>
      <w:bookmarkEnd w:id="11"/>
    </w:p>
    <w:p w:rsidR="008A3E62" w:rsidRPr="000B0E17" w:rsidRDefault="008A3E62" w:rsidP="008A3E62">
      <w:pPr>
        <w:jc w:val="center"/>
        <w:rPr>
          <w:rFonts w:eastAsia="Times New Roman"/>
        </w:rPr>
      </w:pPr>
    </w:p>
    <w:bookmarkStart w:id="12" w:name="_Toc36218441" w:displacedByCustomXml="next"/>
    <w:sdt>
      <w:sdtPr>
        <w:rPr>
          <w:b/>
          <w:bCs/>
        </w:rPr>
        <w:id w:val="1186839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65D65" w:rsidRPr="00165D65" w:rsidRDefault="007F1668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 w:rsidRPr="007F1668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fldChar w:fldCharType="begin"/>
          </w:r>
          <w:r w:rsidR="00B9309C" w:rsidRPr="00165D65">
            <w:instrText xml:space="preserve"> TOC \o "1-3" \h \z \u </w:instrText>
          </w:r>
          <w:r w:rsidRPr="007F1668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fldChar w:fldCharType="separate"/>
          </w:r>
          <w:hyperlink w:anchor="_Toc69113505" w:history="1">
            <w:r w:rsidR="00165D65" w:rsidRPr="00165D65">
              <w:rPr>
                <w:rStyle w:val="a3"/>
                <w:rFonts w:eastAsiaTheme="majorEastAsia" w:cstheme="majorBidi"/>
                <w:bCs/>
                <w:noProof/>
                <w:lang w:eastAsia="en-US"/>
              </w:rPr>
              <w:t>Новые книги</w:t>
            </w:r>
            <w:r w:rsidR="00165D65" w:rsidRPr="00165D65">
              <w:rPr>
                <w:noProof/>
                <w:webHidden/>
              </w:rPr>
              <w:tab/>
            </w:r>
            <w:r w:rsidRPr="00165D65">
              <w:rPr>
                <w:noProof/>
                <w:webHidden/>
              </w:rPr>
              <w:fldChar w:fldCharType="begin"/>
            </w:r>
            <w:r w:rsidR="00165D65" w:rsidRPr="00165D65">
              <w:rPr>
                <w:noProof/>
                <w:webHidden/>
              </w:rPr>
              <w:instrText xml:space="preserve"> PAGEREF _Toc69113505 \h </w:instrText>
            </w:r>
            <w:r w:rsidRPr="00165D65">
              <w:rPr>
                <w:noProof/>
                <w:webHidden/>
              </w:rPr>
            </w:r>
            <w:r w:rsidRPr="00165D65">
              <w:rPr>
                <w:noProof/>
                <w:webHidden/>
              </w:rPr>
              <w:fldChar w:fldCharType="separate"/>
            </w:r>
            <w:r w:rsidR="00165D65" w:rsidRPr="00165D65">
              <w:rPr>
                <w:noProof/>
                <w:webHidden/>
              </w:rPr>
              <w:t>1</w:t>
            </w:r>
            <w:r w:rsidRPr="00165D65">
              <w:rPr>
                <w:noProof/>
                <w:webHidden/>
              </w:rPr>
              <w:fldChar w:fldCharType="end"/>
            </w:r>
          </w:hyperlink>
        </w:p>
        <w:p w:rsidR="00165D65" w:rsidRPr="00165D65" w:rsidRDefault="007F1668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69113506" w:history="1">
            <w:r w:rsidR="00165D65" w:rsidRPr="00165D65">
              <w:rPr>
                <w:rStyle w:val="a3"/>
                <w:noProof/>
              </w:rPr>
              <w:t>Публикации из периодики</w:t>
            </w:r>
            <w:r w:rsidR="00165D65" w:rsidRPr="00165D65">
              <w:rPr>
                <w:noProof/>
                <w:webHidden/>
              </w:rPr>
              <w:tab/>
            </w:r>
            <w:r w:rsidRPr="00165D65">
              <w:rPr>
                <w:noProof/>
                <w:webHidden/>
              </w:rPr>
              <w:fldChar w:fldCharType="begin"/>
            </w:r>
            <w:r w:rsidR="00165D65" w:rsidRPr="00165D65">
              <w:rPr>
                <w:noProof/>
                <w:webHidden/>
              </w:rPr>
              <w:instrText xml:space="preserve"> PAGEREF _Toc69113506 \h </w:instrText>
            </w:r>
            <w:r w:rsidRPr="00165D65">
              <w:rPr>
                <w:noProof/>
                <w:webHidden/>
              </w:rPr>
            </w:r>
            <w:r w:rsidRPr="00165D65">
              <w:rPr>
                <w:noProof/>
                <w:webHidden/>
              </w:rPr>
              <w:fldChar w:fldCharType="separate"/>
            </w:r>
            <w:r w:rsidR="00165D65" w:rsidRPr="00165D65">
              <w:rPr>
                <w:noProof/>
                <w:webHidden/>
              </w:rPr>
              <w:t>1</w:t>
            </w:r>
            <w:r w:rsidRPr="00165D65">
              <w:rPr>
                <w:noProof/>
                <w:webHidden/>
              </w:rPr>
              <w:fldChar w:fldCharType="end"/>
            </w:r>
          </w:hyperlink>
        </w:p>
        <w:p w:rsidR="00165D65" w:rsidRPr="00165D65" w:rsidRDefault="007F1668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69113507" w:history="1">
            <w:r w:rsidR="00165D65" w:rsidRPr="00165D65">
              <w:rPr>
                <w:rStyle w:val="a3"/>
                <w:noProof/>
              </w:rPr>
              <w:t>Книжное ассорти</w:t>
            </w:r>
            <w:r w:rsidR="00165D65" w:rsidRPr="00165D65">
              <w:rPr>
                <w:noProof/>
                <w:webHidden/>
              </w:rPr>
              <w:tab/>
            </w:r>
            <w:r w:rsidRPr="00165D65">
              <w:rPr>
                <w:noProof/>
                <w:webHidden/>
              </w:rPr>
              <w:fldChar w:fldCharType="begin"/>
            </w:r>
            <w:r w:rsidR="00165D65" w:rsidRPr="00165D65">
              <w:rPr>
                <w:noProof/>
                <w:webHidden/>
              </w:rPr>
              <w:instrText xml:space="preserve"> PAGEREF _Toc69113507 \h </w:instrText>
            </w:r>
            <w:r w:rsidRPr="00165D65">
              <w:rPr>
                <w:noProof/>
                <w:webHidden/>
              </w:rPr>
            </w:r>
            <w:r w:rsidRPr="00165D65">
              <w:rPr>
                <w:noProof/>
                <w:webHidden/>
              </w:rPr>
              <w:fldChar w:fldCharType="separate"/>
            </w:r>
            <w:r w:rsidR="00165D65" w:rsidRPr="00165D65">
              <w:rPr>
                <w:noProof/>
                <w:webHidden/>
              </w:rPr>
              <w:t>4</w:t>
            </w:r>
            <w:r w:rsidRPr="00165D65">
              <w:rPr>
                <w:noProof/>
                <w:webHidden/>
              </w:rPr>
              <w:fldChar w:fldCharType="end"/>
            </w:r>
          </w:hyperlink>
        </w:p>
        <w:p w:rsidR="00165D65" w:rsidRPr="00165D65" w:rsidRDefault="007F1668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69113508" w:history="1">
            <w:r w:rsidR="00165D65" w:rsidRPr="00165D65">
              <w:rPr>
                <w:rStyle w:val="a3"/>
                <w:noProof/>
              </w:rPr>
              <w:t>ПРОчтение</w:t>
            </w:r>
            <w:r w:rsidR="00165D65" w:rsidRPr="00165D65">
              <w:rPr>
                <w:noProof/>
                <w:webHidden/>
              </w:rPr>
              <w:tab/>
            </w:r>
            <w:r w:rsidRPr="00165D65">
              <w:rPr>
                <w:noProof/>
                <w:webHidden/>
              </w:rPr>
              <w:fldChar w:fldCharType="begin"/>
            </w:r>
            <w:r w:rsidR="00165D65" w:rsidRPr="00165D65">
              <w:rPr>
                <w:noProof/>
                <w:webHidden/>
              </w:rPr>
              <w:instrText xml:space="preserve"> PAGEREF _Toc69113508 \h </w:instrText>
            </w:r>
            <w:r w:rsidRPr="00165D65">
              <w:rPr>
                <w:noProof/>
                <w:webHidden/>
              </w:rPr>
            </w:r>
            <w:r w:rsidRPr="00165D65">
              <w:rPr>
                <w:noProof/>
                <w:webHidden/>
              </w:rPr>
              <w:fldChar w:fldCharType="separate"/>
            </w:r>
            <w:r w:rsidR="00165D65" w:rsidRPr="00165D65">
              <w:rPr>
                <w:noProof/>
                <w:webHidden/>
              </w:rPr>
              <w:t>4</w:t>
            </w:r>
            <w:r w:rsidRPr="00165D65">
              <w:rPr>
                <w:noProof/>
                <w:webHidden/>
              </w:rPr>
              <w:fldChar w:fldCharType="end"/>
            </w:r>
          </w:hyperlink>
        </w:p>
        <w:p w:rsidR="00165D65" w:rsidRPr="00165D65" w:rsidRDefault="007F1668" w:rsidP="00165D65">
          <w:pPr>
            <w:pStyle w:val="11"/>
            <w:tabs>
              <w:tab w:val="right" w:leader="dot" w:pos="10456"/>
            </w:tabs>
            <w:ind w:firstLine="709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69113509" w:history="1">
            <w:r w:rsidR="00165D65" w:rsidRPr="00165D65">
              <w:rPr>
                <w:rStyle w:val="a3"/>
                <w:noProof/>
              </w:rPr>
              <w:t>Факт</w:t>
            </w:r>
            <w:r w:rsidR="00165D65" w:rsidRPr="00165D65">
              <w:rPr>
                <w:noProof/>
                <w:webHidden/>
              </w:rPr>
              <w:tab/>
            </w:r>
            <w:r w:rsidRPr="00165D65">
              <w:rPr>
                <w:noProof/>
                <w:webHidden/>
              </w:rPr>
              <w:fldChar w:fldCharType="begin"/>
            </w:r>
            <w:r w:rsidR="00165D65" w:rsidRPr="00165D65">
              <w:rPr>
                <w:noProof/>
                <w:webHidden/>
              </w:rPr>
              <w:instrText xml:space="preserve"> PAGEREF _Toc69113509 \h </w:instrText>
            </w:r>
            <w:r w:rsidRPr="00165D65">
              <w:rPr>
                <w:noProof/>
                <w:webHidden/>
              </w:rPr>
            </w:r>
            <w:r w:rsidRPr="00165D65">
              <w:rPr>
                <w:noProof/>
                <w:webHidden/>
              </w:rPr>
              <w:fldChar w:fldCharType="separate"/>
            </w:r>
            <w:r w:rsidR="00165D65" w:rsidRPr="00165D65">
              <w:rPr>
                <w:noProof/>
                <w:webHidden/>
              </w:rPr>
              <w:t>4</w:t>
            </w:r>
            <w:r w:rsidRPr="00165D65">
              <w:rPr>
                <w:noProof/>
                <w:webHidden/>
              </w:rPr>
              <w:fldChar w:fldCharType="end"/>
            </w:r>
          </w:hyperlink>
        </w:p>
        <w:p w:rsidR="00165D65" w:rsidRPr="00165D65" w:rsidRDefault="007F1668" w:rsidP="00165D65">
          <w:pPr>
            <w:pStyle w:val="11"/>
            <w:tabs>
              <w:tab w:val="right" w:leader="dot" w:pos="10456"/>
            </w:tabs>
            <w:ind w:firstLine="709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69113510" w:history="1">
            <w:r w:rsidR="00165D65" w:rsidRPr="00165D65">
              <w:rPr>
                <w:rStyle w:val="a3"/>
                <w:noProof/>
              </w:rPr>
              <w:t>Произведения</w:t>
            </w:r>
            <w:r w:rsidR="00165D65" w:rsidRPr="00165D65">
              <w:rPr>
                <w:noProof/>
                <w:webHidden/>
              </w:rPr>
              <w:tab/>
            </w:r>
            <w:r w:rsidRPr="00165D65">
              <w:rPr>
                <w:noProof/>
                <w:webHidden/>
              </w:rPr>
              <w:fldChar w:fldCharType="begin"/>
            </w:r>
            <w:r w:rsidR="00165D65" w:rsidRPr="00165D65">
              <w:rPr>
                <w:noProof/>
                <w:webHidden/>
              </w:rPr>
              <w:instrText xml:space="preserve"> PAGEREF _Toc69113510 \h </w:instrText>
            </w:r>
            <w:r w:rsidRPr="00165D65">
              <w:rPr>
                <w:noProof/>
                <w:webHidden/>
              </w:rPr>
            </w:r>
            <w:r w:rsidRPr="00165D65">
              <w:rPr>
                <w:noProof/>
                <w:webHidden/>
              </w:rPr>
              <w:fldChar w:fldCharType="separate"/>
            </w:r>
            <w:r w:rsidR="00165D65" w:rsidRPr="00165D65">
              <w:rPr>
                <w:noProof/>
                <w:webHidden/>
              </w:rPr>
              <w:t>4</w:t>
            </w:r>
            <w:r w:rsidRPr="00165D65">
              <w:rPr>
                <w:noProof/>
                <w:webHidden/>
              </w:rPr>
              <w:fldChar w:fldCharType="end"/>
            </w:r>
          </w:hyperlink>
        </w:p>
        <w:p w:rsidR="00B9309C" w:rsidRPr="00165D65" w:rsidRDefault="007F1668">
          <w:r w:rsidRPr="00165D65">
            <w:fldChar w:fldCharType="end"/>
          </w:r>
        </w:p>
      </w:sdtContent>
    </w:sdt>
    <w:p w:rsidR="009D6B47" w:rsidRPr="00DC4D01" w:rsidRDefault="009D6B47" w:rsidP="00165D65">
      <w:pPr>
        <w:pStyle w:val="a8"/>
        <w:spacing w:before="0"/>
        <w:jc w:val="center"/>
        <w:rPr>
          <w:rFonts w:eastAsia="Times New Roman"/>
          <w:sz w:val="20"/>
          <w:szCs w:val="20"/>
          <w:lang w:val="en-US"/>
        </w:rPr>
      </w:pPr>
      <w:bookmarkStart w:id="13" w:name="_Toc69113505"/>
      <w:r w:rsidRPr="004D7062">
        <w:rPr>
          <w:rStyle w:val="10"/>
          <w:b/>
        </w:rPr>
        <w:t>Новые книги</w:t>
      </w:r>
      <w:bookmarkEnd w:id="13"/>
      <w:r w:rsidRPr="00DC4D01">
        <w:rPr>
          <w:rStyle w:val="a7"/>
          <w:color w:val="1F497D" w:themeColor="text2"/>
        </w:rPr>
        <w:endnoteReference w:id="2"/>
      </w:r>
      <w:bookmarkEnd w:id="12"/>
    </w:p>
    <w:tbl>
      <w:tblPr>
        <w:tblW w:w="499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9783"/>
      </w:tblGrid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4619" w:type="pct"/>
            <w:hideMark/>
          </w:tcPr>
          <w:p w:rsidR="009D6B47" w:rsidRPr="00DC4D01" w:rsidRDefault="009D6B47" w:rsidP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Козлова, Т. В.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   Основы теории проектирование костюма : учеб. для вузов по направлению подгот. 54.03.03 "Искусство костюма и текстиля" (квалификация (степень) "бакалавр") / Т. В. Козлова. - 2-е изд., испр. - Документ read. - Москва : ИНФРА-М, 2021. - 350 с. - (Высшее образование - Бакалавриат). - Библиогр.: с. 345-346. - URL: </w:t>
            </w:r>
            <w:hyperlink r:id="rId8" w:history="1">
              <w:r w:rsidRPr="00DC4D01">
                <w:rPr>
                  <w:rStyle w:val="a3"/>
                  <w:rFonts w:ascii="Verdana" w:eastAsia="Times New Roman" w:hAnsi="Verdana"/>
                  <w:color w:val="1F497D" w:themeColor="text2"/>
                  <w:sz w:val="20"/>
                  <w:szCs w:val="20"/>
                </w:rPr>
                <w:t>https://znanium.com/read?id=367709</w:t>
              </w:r>
            </w:hyperlink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19.02.21). - Режим доступа: для авториз. пользователей. - ISBN 978-5-16-108445-8. - Текст : электронный.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   </w:t>
            </w:r>
            <w:r w:rsidRPr="00DC4D01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Композиция костюма; Основы теории системного проектирования; Конструирование и моделирование швейных изделий; Конструирование швейных изделий; Конструктивное моделирование одежды; Костюмографика; Технология и конструирование трикотажных изделий; Архитектоника объемных форм; Художественное моделирование одежды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4619" w:type="pct"/>
            <w:hideMark/>
          </w:tcPr>
          <w:p w:rsidR="009D6B47" w:rsidRPr="00DC4D01" w:rsidRDefault="009D6B47" w:rsidP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Козлова, Т. В.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   Художественное проектирование костюма : монография / Т. В. Козлова. - 2-е изд., испр. - Документ read. - Москва : ИНФРА-М, 2021. - 140 с. - (Научная мысль). - Библиогр.: с. 136-138. - URL: </w:t>
            </w:r>
            <w:hyperlink r:id="rId9" w:history="1">
              <w:r w:rsidRPr="00DC4D01">
                <w:rPr>
                  <w:rStyle w:val="a3"/>
                  <w:rFonts w:ascii="Verdana" w:eastAsia="Times New Roman" w:hAnsi="Verdana"/>
                  <w:color w:val="1F497D" w:themeColor="text2"/>
                  <w:sz w:val="20"/>
                  <w:szCs w:val="20"/>
                </w:rPr>
                <w:t>https://znanium.com/read?id=363733</w:t>
              </w:r>
            </w:hyperlink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18.11.2020). - Режим доступа: для авториз. пользователей. - ISBN 978-5-16-108430-4. - Текст : электронный.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Pr="00DC4D01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Дисциплины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История костюма и моды; Основы теории системного проектирования;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4619" w:type="pct"/>
            <w:hideMark/>
          </w:tcPr>
          <w:p w:rsidR="009D6B47" w:rsidRPr="00DC4D01" w:rsidRDefault="009D6B47" w:rsidP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  <w:lang w:val="en-US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Самсонова, М. В.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   Основы обеспечения качества : учеб. пособие для вузов по направлениям подгот. 27.03.02 "Упр. качеством", 38.03.02 "Менеджмент", 38.03.03 "Упр. персоналом" (квалификация (степень) "бакалавр") / М. В. Самсонова. - Документ read. - Москва : Инфра-М, 2020. - 302 с. - (Высшее образование. Бакалавриат). - Библиогр.: с. 283-286. - URL: </w:t>
            </w:r>
            <w:hyperlink r:id="rId10" w:history="1">
              <w:r w:rsidRPr="00DC4D01">
                <w:rPr>
                  <w:rStyle w:val="a3"/>
                  <w:rFonts w:ascii="Verdana" w:eastAsia="Times New Roman" w:hAnsi="Verdana"/>
                  <w:color w:val="1F497D" w:themeColor="text2"/>
                  <w:sz w:val="20"/>
                  <w:szCs w:val="20"/>
                </w:rPr>
                <w:t>https://znanium.com/read?id=355627</w:t>
              </w:r>
            </w:hyperlink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06.04.2021). - Режим доступа: для авториз. пользователей. - ISBN 978-5-16-105561-8. - Текст : электронный.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   </w:t>
            </w:r>
            <w:r w:rsidRPr="00DC4D01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Основы обеспечения качества</w:t>
            </w:r>
          </w:p>
          <w:p w:rsidR="009D6B47" w:rsidRPr="00DC4D01" w:rsidRDefault="009D6B47" w:rsidP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  <w:lang w:val="en-US"/>
              </w:rPr>
            </w:pPr>
          </w:p>
          <w:p w:rsidR="009D6B47" w:rsidRPr="00DC4D01" w:rsidRDefault="009D6B47" w:rsidP="009D6B47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  <w:lang w:val="en-US"/>
              </w:rPr>
            </w:pPr>
            <w:bookmarkStart w:id="14" w:name="_Toc69113506"/>
            <w:r w:rsidRPr="00DC4D01">
              <w:rPr>
                <w:rStyle w:val="10"/>
              </w:rPr>
              <w:t>Публикации из периодики</w:t>
            </w:r>
            <w:bookmarkEnd w:id="14"/>
            <w:r w:rsidRPr="00DC4D01">
              <w:rPr>
                <w:rStyle w:val="a7"/>
                <w:rFonts w:ascii="Verdana" w:eastAsia="Times New Roman" w:hAnsi="Verdana"/>
                <w:b/>
                <w:color w:val="1F497D" w:themeColor="text2"/>
              </w:rPr>
              <w:endnoteReference w:id="3"/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4619" w:type="pct"/>
            <w:hideMark/>
          </w:tcPr>
          <w:p w:rsidR="009D6B47" w:rsidRPr="00DC4D01" w:rsidRDefault="009D6B47" w:rsidP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Рашева, О. А.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Формование одежды с использованием роботов-манекенов / О. А. Рашева, И. И. Шалмина, Г. М. Андросова. - Текст : непосредственный // Дизайн. Материалы. Технология. - 2020. - № 3. - С. 52-56.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Рассматривается проблема формования и формозакрепления одежды. Для ее решения предложен принцип работы роботизированного манекена, имеющего подвижные наружные элементы из нагреваемых пластин, которые перемещаются и принимают заданную форму поверхности одежды. Манекен может быть использован для формования одежды и ее частей, а также для придания и закрепления окончательной формы одежды.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4619" w:type="pct"/>
            <w:hideMark/>
          </w:tcPr>
          <w:p w:rsidR="009D6B47" w:rsidRPr="00DC4D01" w:rsidRDefault="009D6B47" w:rsidP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Алексенко, И. В.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Особенности проектирования свадебных платьев для женщин Республики Алтай / И. В. Алексенко, И. С. Аксенова, А. А. Старовойтова. - Текст : непосредственный // Дизайн. Материалы. Технология. - 2020. - № 3. - С. 37-40.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 xml:space="preserve">Рассматривается проблема, возникающая при выборе женщинами Республики Алтай свадебного платья из коллекции российских и зарубежных производителей. Предлагается проектирование свадебных платьев на одной конструктивной основе корсета, конструкция которого должна соответствовать пониженному росту коренных алтаек и предусматривать возможность корректировки посадки изделия для разных обхватных характеристик фигур алтайских женщин. Разработаны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lastRenderedPageBreak/>
              <w:t>эскизы моделей свадебных платьев на одной конструктивной основе корсета и рассмотрены методы обработки основных узлов изделия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6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Проектирование трехмерных манекенов фигуры человека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/ А. А. Тутова, И. А. Петросова, Е. Г. Андреева [и др.].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Изв. вузов. Технология легкой пром-сти. - 2019. - № 1. - С. 65-70.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Описана методика проектирования манекенов для одежды. Информационной составляющей методики являются данные, полученные трехмерным сканированием индивидуальных фигур без одежды и в одежде. Важной частью процесса проектирования новых манекенов является база знаний о толщине пакета материалов пододежного слоя на разных антропометрических уровнях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Жукова, И. А.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Разработка концептуальной модели автоматизации технологических процессов приема заказа и движения документации в контактной зоне предприятий сервиса в индустрии моды / И. А. Жукова, М. А. Труевцева, А. М. Евгеньева.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Изв. вузов. Технология легкой пром-сти. - 2019. - № 1. - С. 76-85.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Анализ современных интегрированных систем управления швейным производством показал, что существующие программные комплексы разработаны для серийного производства одежды и не учитывают особенности предприятий сервиса. Разработана концептуальная модель комплексной автоматизации процессов оказания услуг и движения документации в салоне предприятия сервиса в индустрии моды. Характерной особенностью этой модели является наличие и функционирование шестого потока данных - потока процесса оказания услуги, что является важным не только для индустрии моды, но и для всех предприятий сервиса. Разработано информационное ядро для комплексной системы автоматизации процессов в салоне ателье. Полностью подготовлено информационное обеспечение для базы данных "Приемщик" и разработана структура базы данных с кратким примером заполнения и работы.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Ким, Х.-Ю.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Швы и края одежды: практический анализ / Ким, Х.-Ю.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Теория моды: одежда, тело, культура. - 2020. - № 3. - С. 285-300.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Исследование значения швов и отделки кроев в практической перспективе. Автор опирается на работы по истории моды, посвященные взаимоотношениям тела и одежды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Зубарева, И. В.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САРА - действенные практики по постоянным улучшениям в пищевых производствах / И. В. Зубарева.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10. - С. 19-23.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Рассмотрены подходы к усовершенствованию системы менеджмента качества на производстве, методы оптимизации процессов после прохождения аудитов в рамках мероприятий CAPA. Приведены практические примеры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Литти, С. П.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Использование лин-технологий для развития производственной системы / С. П. Литти.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9. - С. 44-48.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Рассмотрена роль программы развития производственной системы при решении задач повышения эффективности производства. Приводятся технологии и инструменты, значительно повышающие результативность лин-трансформации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Хомутский, Д. Ю.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Как измерить эффективность инновационной деятельности предприятия / Д. Ю. Хомутский.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9. - С. 65-70.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Рассмотрены основные показатели инноваций, проанализированы главные ошибки при их измерении и приведены рекомендации по построению современной корпоративной системы инновационных показателей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Уваров, Г. А.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Производственный менеджмент: задачи и функции / Г. А. Уваров.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9. - С. 56-64.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Характеристика функций производственного менеджмента и их особенности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Банников, А. А.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Как обеспечить устойчивое повышение эффективного технического обслуживания и ремонта / А. А. Банников.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9. - С. 71-75.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Представлена программа комплексного технического обслуживания REP, направленная на повышение производительности вращающего оборудования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Венерская, Т. В.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Стандарт BRC в практике внутренних аудитов / Т. В. Венерская. - Текст : непосредственный// Упр. качеством. - 2020. - № 10. - С. 14-18.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 xml:space="preserve">Рассмотрены особенности проведения аудита по стандарту BRC, приведены практические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lastRenderedPageBreak/>
              <w:t>примеры, описаны основные требования, которые необходимо выполнять производителям упаковки и упаковочных материалов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Сошинов, А. Г.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Наиболее часто встречающиеся нарушения нормативных показателей качества электрической энергии в электрических сетях / А. Г. Сошинов, Т. Х. Айсина.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- 2021. - № 1. - С. 44-48.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Перечислены основные потребители электрической энергии, которые негативно влияют на ее качество, приведены результаты измерений показателей качества электрической энергии и наиболее часто встречающиеся нарушения нормативных требований, приведен анализ влияния несимметрии напряжения на условия эксплуатации электрооборудования. Предложены основные формулы для расчетов коэффициентов несимметрии и способы снижения несимметрии напряжения.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Кузетова, Н. Г.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Гемба-обходы в качестве аудитов СМК / Н. Г. Кузетова.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10. - С. 38-46.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Рассмотрены основные инструменты и практические подходы к использованию гемба в системе менеджмента качества, связь бережливого производства и систем менеджмента качества в практике проведения аудитов. Автор делится методиками и примерами.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Темникова, К. Н.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Разработка и внедрение системы мониторинга и измерения удовлетворенности потребителей / К. Н. Темникова, Д. И. Раевский.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10. - С. 47-50.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Рассмотрены практические вопросы, связанные с разработкой и внедрением системы мониторинга и измерения удовлетворенности потребителей в соответствии с ISO 10004. Рассмотрены взаимосвязь ISO 9001, ISO 10001, ISO 10002, ISO 100004, особенности разработки данной системы в сегменте B2B.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Раевский, Д. И.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Внутренние факторы, снижающие эффективность систем менеджмента / Д. И. Раевский.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11. - С. 18-23.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Автор рассматривает внутренние факторы, снижающие эффективность систем менеджмента. Выделены три ключевых фактора. Первый - плохая взаимосвязь между современными IT-системами, широко внедряемыми на предприятиях (, SAP и др.), и документами, описывающими систему. Второй - низкий уровень информированности специалистов по внедрению систем менеджмента о разнообразии прикладных инструментов или отсутствие их вовлечения во внедрение практических инструментов, которые можно применять для реализации требований этих систем. Третий - отсутствие понимания и прямой взаимосвязи, как внедрение эффективной системы менеджмента влияет на экономические показатели компании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Степанов, А. В.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Ресурсы для мониторинга и измерений: классификация и требования / А. В. Степанов, В. А. Степанов.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11. - С. 42-52.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Рассматривается тема классификации ресурсов для мониторинга и измерения, а также требования, предъявляемые к ним в подразделе 7.1.5 проекта ГОСТ РВ 0015-002-ХХХХ.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Бриссе, Э.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Как промышленный Интернет вещей может повысить эффективность работы предприятия / Э. Бриссе.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12. - С. 26-30.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Рассмотрен практический опыт применения технологии Интернета вещей в строительной отрасли.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Стандарты ISO 9001 помогают более эффективно управлять персоналом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12. - С. 56-58.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Рассматриваются о6новленные стандарты, содержащие указания по управлению компетенциями, развитию компетентности и вовлечению персонала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Логинов, Е.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Как адаптировать lean production под нужды компании / Е. Логинов.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- 2021. - № 1. - С. 16-21.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Автор рассказывает о необходимости адаптации lean production под нужды компании, а также рассматривает пример использования концепции ROPEX на площадках компании ROCKWOOL.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Принципы бережливого производства: опыт российских компаний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- 2021. - № 1. - С. 22-25.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Описаны успешные примеры внедрения бережливого производства на российских предприятиях. В результате перестройки и внедрения бережливого производства на Курском электроаппаратном заводе производство перенесли на новую площадку вдвое меньшей площади, при этом номенклатура выпускаемой продукции увеличилась с 6 тыс. до 12 тыс. SKU.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Якушева, М. А.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  Социальный аудит партнеров: зачем проводится и к чему готовиться? / М. А. Якушева. - Текст : непосредственный</w:t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// Упр. качеством. - 2020. - № 10. - С. 9-13. - Лит. в конце ст.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C4D01"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DC4D01"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  <w:t>Рассмотрены основные аспекты требований к социальному аудиту и даны ответы на вопросы, зачем проводится социальный аудит партнеров, какие аспекты проверяют в ходе аудита и какие методики используют. Приведен алгоритм подготовки к проверкам, раскрыты основные положения социальной ответственности компаний - производителей продукции.</w:t>
            </w:r>
          </w:p>
          <w:p w:rsidR="00DC4D01" w:rsidRPr="00DC4D01" w:rsidRDefault="00DC4D01" w:rsidP="00DC4D01">
            <w:pPr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</w:pPr>
          </w:p>
          <w:p w:rsidR="00DC4D01" w:rsidRPr="00DC4D01" w:rsidRDefault="00DC4D01" w:rsidP="00DC4D01">
            <w:pPr>
              <w:pStyle w:val="1"/>
              <w:rPr>
                <w:szCs w:val="20"/>
              </w:rPr>
            </w:pPr>
            <w:bookmarkStart w:id="15" w:name="_Toc69113507"/>
            <w:r w:rsidRPr="00DC4D01">
              <w:t>Книжное ассорти</w:t>
            </w:r>
            <w:bookmarkEnd w:id="15"/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Дидро, Д.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   Монахиня / Д. Дидро. - Документ viewer. - Москва : Юрайт, 2020. - 183 с. - (Памятники литературы). - URL: </w:t>
            </w:r>
            <w:hyperlink r:id="rId11" w:anchor="page/3" w:history="1">
              <w:r w:rsidR="00DC4D01" w:rsidRPr="00DC4D01">
                <w:rPr>
                  <w:rStyle w:val="a3"/>
                  <w:rFonts w:ascii="Verdana" w:eastAsia="Times New Roman" w:hAnsi="Verdana"/>
                  <w:color w:val="1F497D" w:themeColor="text2"/>
                  <w:sz w:val="20"/>
                  <w:szCs w:val="20"/>
                </w:rPr>
                <w:t>https://urait.ru/viewer/monahinya-456725#page/3</w:t>
              </w:r>
            </w:hyperlink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26.03.2021). - Режим доступа: для авториз. пользователей. - ISBN 978-5-534-10537-7. - Текст : электронный.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Лосева, П.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   Против часовой стрелки. Что такое старение и как с ним бороться / П. Лосева. - Документ read. - Москва : Альпина нон-фикшн, 2020. - 468 с. : ил. - (PRIMUS). - URL: </w:t>
            </w:r>
            <w:hyperlink r:id="rId12" w:history="1">
              <w:r w:rsidR="00DC4D01" w:rsidRPr="00DC4D01">
                <w:rPr>
                  <w:rStyle w:val="a3"/>
                  <w:rFonts w:ascii="Verdana" w:eastAsia="Times New Roman" w:hAnsi="Verdana"/>
                  <w:color w:val="1F497D" w:themeColor="text2"/>
                  <w:sz w:val="20"/>
                  <w:szCs w:val="20"/>
                </w:rPr>
                <w:t>https://znanium.com/read?id=368805</w:t>
              </w:r>
            </w:hyperlink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ISBN 978-5-00139-143-2. - Текст : электронный.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4619" w:type="pct"/>
            <w:hideMark/>
          </w:tcPr>
          <w:p w:rsidR="009D6B47" w:rsidRPr="00DC4D01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Сасаки, Ф.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   Прощайте, вещи! Новый японский минимализм / Ф. Сасаки ; пер. с англ. Д. Шалаевой ; ред. И Беличева . - Документ read. - Москва : Альпина нон-фикшн, 2020. - 263 с. : ил. - URL: </w:t>
            </w:r>
            <w:hyperlink r:id="rId13" w:history="1">
              <w:r w:rsidR="00DC4D01" w:rsidRPr="00DC4D01">
                <w:rPr>
                  <w:rStyle w:val="a3"/>
                  <w:rFonts w:ascii="Verdana" w:eastAsia="Times New Roman" w:hAnsi="Verdana"/>
                  <w:color w:val="1F497D" w:themeColor="text2"/>
                  <w:sz w:val="20"/>
                  <w:szCs w:val="20"/>
                </w:rPr>
                <w:t>https://znanium.com/read?id=368827</w:t>
              </w:r>
            </w:hyperlink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ISBN 978-5-00139-269-9. - Текст : электронный.</w:t>
            </w:r>
          </w:p>
        </w:tc>
      </w:tr>
      <w:tr w:rsidR="009D6B47" w:rsidRPr="00DC4D01" w:rsidTr="009D6B47">
        <w:trPr>
          <w:tblCellSpacing w:w="15" w:type="dxa"/>
          <w:jc w:val="center"/>
        </w:trPr>
        <w:tc>
          <w:tcPr>
            <w:tcW w:w="338" w:type="pct"/>
            <w:hideMark/>
          </w:tcPr>
          <w:p w:rsidR="009D6B47" w:rsidRPr="00DC4D01" w:rsidRDefault="009D6B47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4619" w:type="pct"/>
            <w:hideMark/>
          </w:tcPr>
          <w:p w:rsidR="009D6B47" w:rsidRDefault="009D6B47" w:rsidP="00DC4D01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DC4D01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Хиггинботам, А.</w:t>
            </w:r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   Чернобыль. История катастрофы : пер. с англ. / А. Хиггинботам. - Документ read. - Москва : Альпина нон-фикшн, 2020. - 551 с. : ил. - Библиогр.: с. 497-515. - URL: </w:t>
            </w:r>
            <w:hyperlink r:id="rId14" w:history="1">
              <w:r w:rsidR="00DC4D01" w:rsidRPr="00DC4D01">
                <w:rPr>
                  <w:rStyle w:val="a3"/>
                  <w:rFonts w:ascii="Verdana" w:eastAsia="Times New Roman" w:hAnsi="Verdana"/>
                  <w:color w:val="1F497D" w:themeColor="text2"/>
                  <w:sz w:val="20"/>
                  <w:szCs w:val="20"/>
                </w:rPr>
                <w:t>https://znanium.com/read?id=368907</w:t>
              </w:r>
            </w:hyperlink>
            <w:r w:rsidRPr="00DC4D01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ISBN 978-5-00139-269-9. - Текст : электронный.</w:t>
            </w:r>
          </w:p>
          <w:p w:rsidR="00B9309C" w:rsidRDefault="00B9309C" w:rsidP="00DC4D01">
            <w:pPr>
              <w:pStyle w:val="a5"/>
              <w:jc w:val="center"/>
              <w:rPr>
                <w:rFonts w:ascii="Verdana" w:eastAsia="Times New Roman" w:hAnsi="Verdana"/>
                <w:color w:val="000000" w:themeColor="text1"/>
              </w:rPr>
            </w:pPr>
          </w:p>
          <w:p w:rsidR="008A3E62" w:rsidRPr="00281499" w:rsidRDefault="008A3E62" w:rsidP="008A3E62">
            <w:pPr>
              <w:pStyle w:val="1"/>
            </w:pPr>
            <w:bookmarkStart w:id="16" w:name="_Toc68513299"/>
            <w:bookmarkStart w:id="17" w:name="_Toc69113508"/>
            <w:r w:rsidRPr="00281499">
              <w:t>ПРОчтение</w:t>
            </w:r>
            <w:bookmarkEnd w:id="16"/>
            <w:bookmarkEnd w:id="17"/>
          </w:p>
          <w:p w:rsidR="008A3E62" w:rsidRPr="00281499" w:rsidRDefault="008A3E62" w:rsidP="008A3E62">
            <w:pPr>
              <w:pStyle w:val="1"/>
              <w:jc w:val="right"/>
            </w:pPr>
            <w:bookmarkStart w:id="18" w:name="_Toc68513300"/>
            <w:bookmarkStart w:id="19" w:name="_Toc69113509"/>
            <w:r w:rsidRPr="00281499">
              <w:t>Факт</w:t>
            </w:r>
            <w:bookmarkEnd w:id="18"/>
            <w:bookmarkEnd w:id="19"/>
          </w:p>
          <w:p w:rsidR="008A3E62" w:rsidRPr="000B0E17" w:rsidRDefault="008A3E62" w:rsidP="008A3E62">
            <w:pPr>
              <w:rPr>
                <w:rFonts w:ascii="Verdana" w:hAnsi="Verdana"/>
                <w:sz w:val="20"/>
                <w:szCs w:val="20"/>
              </w:rPr>
            </w:pPr>
          </w:p>
          <w:p w:rsidR="008A3E62" w:rsidRPr="00281499" w:rsidRDefault="000B0E17" w:rsidP="008A3E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7620</wp:posOffset>
                  </wp:positionV>
                  <wp:extent cx="1085850" cy="1276350"/>
                  <wp:effectExtent l="19050" t="0" r="0" b="0"/>
                  <wp:wrapSquare wrapText="bothSides"/>
                  <wp:docPr id="2" name="Рисунок 1" descr="C:\Documents and Settings\lib\Мои документы\Downloads\Ноам Хом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b\Мои документы\Downloads\Ноам Хом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0244" r="22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3E62" w:rsidRPr="00281499">
              <w:rPr>
                <w:rFonts w:ascii="Verdana" w:hAnsi="Verdana"/>
                <w:sz w:val="20"/>
                <w:szCs w:val="20"/>
              </w:rPr>
              <w:t xml:space="preserve">В Бостоне в </w:t>
            </w:r>
            <w:r w:rsidR="008A3E62" w:rsidRPr="00281499">
              <w:rPr>
                <w:rFonts w:ascii="Verdana" w:hAnsi="Verdana"/>
                <w:sz w:val="20"/>
                <w:szCs w:val="20"/>
                <w:lang w:val="en-US"/>
              </w:rPr>
              <w:t>XIX</w:t>
            </w:r>
            <w:r w:rsidR="008A3E62" w:rsidRPr="00281499">
              <w:rPr>
                <w:rFonts w:ascii="Verdana" w:hAnsi="Verdana"/>
                <w:sz w:val="20"/>
                <w:szCs w:val="20"/>
              </w:rPr>
              <w:t xml:space="preserve"> веке кузнец, если мог себе позволить, то, обычно, нанимал мальчика, чтобы читать ему книги, пока тот работает.</w:t>
            </w:r>
          </w:p>
          <w:p w:rsidR="008A3E62" w:rsidRPr="005E2031" w:rsidRDefault="008A3E62" w:rsidP="008A3E62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8A3E62" w:rsidRPr="00C6245B" w:rsidRDefault="008A3E62" w:rsidP="008A3E62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C6245B">
              <w:rPr>
                <w:rFonts w:ascii="Verdana" w:hAnsi="Verdana"/>
                <w:i/>
                <w:sz w:val="18"/>
                <w:szCs w:val="18"/>
              </w:rPr>
              <w:t xml:space="preserve">Хомский Н. Образование. Кому и зачем : </w:t>
            </w:r>
          </w:p>
          <w:p w:rsidR="008A3E62" w:rsidRPr="00C6245B" w:rsidRDefault="008A3E62" w:rsidP="008A3E62">
            <w:pPr>
              <w:jc w:val="right"/>
              <w:rPr>
                <w:rFonts w:ascii="Verdana" w:eastAsia="Times New Roman" w:hAnsi="Verdana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</w:rPr>
            </w:pPr>
            <w:r w:rsidRPr="00C6245B">
              <w:rPr>
                <w:rFonts w:ascii="Verdana" w:hAnsi="Verdana"/>
                <w:i/>
                <w:sz w:val="18"/>
                <w:szCs w:val="18"/>
              </w:rPr>
              <w:t>лекция в ун-те штата Аризона 8 февраля 2012 г</w:t>
            </w:r>
            <w:r w:rsidRPr="00C6245B">
              <w:rPr>
                <w:rFonts w:ascii="Verdana" w:hAnsi="Verdana"/>
                <w:sz w:val="18"/>
                <w:szCs w:val="18"/>
              </w:rPr>
              <w:t>.</w:t>
            </w:r>
            <w:r w:rsidRPr="00C6245B">
              <w:rPr>
                <w:rFonts w:ascii="Verdana" w:eastAsia="Times New Roman" w:hAnsi="Verdana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A3E62" w:rsidRPr="00C6245B" w:rsidRDefault="008A3E62" w:rsidP="008A3E62">
            <w:pPr>
              <w:jc w:val="right"/>
              <w:rPr>
                <w:rFonts w:ascii="Verdana" w:eastAsia="Times New Roman" w:hAnsi="Verdan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A3E62" w:rsidRPr="00C6245B" w:rsidRDefault="008A3E62" w:rsidP="008A3E6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8A3E62" w:rsidRPr="00C6245B" w:rsidRDefault="007F1668" w:rsidP="008A3E62">
            <w:pPr>
              <w:jc w:val="right"/>
              <w:rPr>
                <w:b/>
                <w:sz w:val="18"/>
                <w:szCs w:val="18"/>
              </w:rPr>
            </w:pPr>
            <w:hyperlink r:id="rId16" w:history="1"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https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</w:rPr>
                <w:t>://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www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</w:rPr>
                <w:t>.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youtube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</w:rPr>
                <w:t>.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com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</w:rPr>
                <w:t>/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watch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</w:rPr>
                <w:t>?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v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</w:rPr>
                <w:t>=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oj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</w:rPr>
                <w:t>9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VqXtg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</w:rPr>
                <w:t>1</w:t>
              </w:r>
              <w:r w:rsidR="008A3E62" w:rsidRPr="00C6245B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cg</w:t>
              </w:r>
            </w:hyperlink>
            <w:r w:rsidR="008A3E62" w:rsidRPr="00C6245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A3E62" w:rsidRPr="00D02BEE" w:rsidRDefault="008A3E62" w:rsidP="008A3E62">
            <w:pPr>
              <w:pStyle w:val="1"/>
              <w:jc w:val="right"/>
            </w:pPr>
          </w:p>
          <w:p w:rsidR="008A3E62" w:rsidRPr="00D02BEE" w:rsidRDefault="008A3E62" w:rsidP="008A3E62">
            <w:pPr>
              <w:pStyle w:val="1"/>
              <w:jc w:val="right"/>
            </w:pPr>
          </w:p>
          <w:p w:rsidR="008A3E62" w:rsidRPr="00281499" w:rsidRDefault="008A3E62" w:rsidP="008A3E62">
            <w:pPr>
              <w:pStyle w:val="1"/>
              <w:jc w:val="right"/>
            </w:pPr>
            <w:bookmarkStart w:id="20" w:name="_Toc68513301"/>
            <w:bookmarkStart w:id="21" w:name="_Toc69113510"/>
            <w:r w:rsidRPr="00281499">
              <w:t>Произведения</w:t>
            </w:r>
            <w:bookmarkEnd w:id="20"/>
            <w:bookmarkEnd w:id="21"/>
          </w:p>
          <w:p w:rsidR="008A3E62" w:rsidRPr="00281499" w:rsidRDefault="008A3E62" w:rsidP="008A3E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2540</wp:posOffset>
                  </wp:positionV>
                  <wp:extent cx="1009650" cy="1524000"/>
                  <wp:effectExtent l="171450" t="133350" r="361950" b="304800"/>
                  <wp:wrapSquare wrapText="bothSides"/>
                  <wp:docPr id="5" name="Рисунок 1" descr="C:\Documents and Settings\lib\Мои документы\Мои рисунки\Проза_обложка_3_р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b\Мои документы\Мои рисунки\Проза_обложка_3_р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81499">
              <w:rPr>
                <w:rFonts w:ascii="Verdana" w:hAnsi="Verdana"/>
                <w:sz w:val="20"/>
                <w:szCs w:val="20"/>
              </w:rPr>
              <w:t>тридцати современных авторов собраны под одной обложкой. Настоящий  Ноев ковчег? Вл. Войнович, Вл. Маканин, Л. Улицкая, М. Палей, В. Пелевин, В. Ерофеев, С. Довлатов, Ю. Поляков, Е. Попов и еще два десятка знакомых современному читателю имён создали достоверную картину русской прозы и русской жизни нашего времени.</w:t>
            </w:r>
          </w:p>
          <w:p w:rsidR="008A3E62" w:rsidRPr="005E2031" w:rsidRDefault="008A3E62" w:rsidP="008A3E62">
            <w:pPr>
              <w:jc w:val="right"/>
              <w:rPr>
                <w:rFonts w:ascii="Verdana" w:eastAsia="Times New Roman" w:hAnsi="Verdana"/>
                <w:b/>
                <w:bCs/>
                <w:i/>
                <w:sz w:val="16"/>
                <w:szCs w:val="16"/>
              </w:rPr>
            </w:pPr>
          </w:p>
          <w:p w:rsidR="008A3E62" w:rsidRPr="00C6245B" w:rsidRDefault="008A3E62" w:rsidP="008A3E62">
            <w:pPr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6245B">
              <w:rPr>
                <w:rFonts w:ascii="Verdana" w:eastAsia="Times New Roman" w:hAnsi="Verdana"/>
                <w:b/>
                <w:bCs/>
                <w:i/>
                <w:sz w:val="16"/>
                <w:szCs w:val="16"/>
              </w:rPr>
              <w:t>Русская проза конца XX века. Хрестоматия</w:t>
            </w:r>
            <w:r w:rsidRPr="00C6245B">
              <w:rPr>
                <w:rFonts w:ascii="Verdana" w:eastAsia="Times New Roman" w:hAnsi="Verdana"/>
                <w:i/>
                <w:sz w:val="16"/>
                <w:szCs w:val="16"/>
              </w:rPr>
              <w:t xml:space="preserve"> :   учеб. пособие для вузов  - Москва : Академия, 2007. - 640 с.</w:t>
            </w:r>
          </w:p>
          <w:p w:rsidR="008A3E62" w:rsidRDefault="008A3E62" w:rsidP="008A3E62"/>
          <w:p w:rsidR="008A3E62" w:rsidRPr="008A3E62" w:rsidRDefault="008A3E62" w:rsidP="00B9309C">
            <w:pPr>
              <w:pStyle w:val="a5"/>
              <w:jc w:val="center"/>
              <w:rPr>
                <w:rFonts w:ascii="Verdana" w:eastAsia="Times New Roman" w:hAnsi="Verdana"/>
                <w:color w:val="1F497D" w:themeColor="text2"/>
              </w:rPr>
            </w:pPr>
          </w:p>
          <w:p w:rsidR="000B0E17" w:rsidRPr="000B0E17" w:rsidRDefault="000B0E17" w:rsidP="00B9309C">
            <w:pPr>
              <w:pStyle w:val="a5"/>
              <w:jc w:val="center"/>
              <w:rPr>
                <w:rFonts w:ascii="Verdana" w:eastAsia="Times New Roman" w:hAnsi="Verdana"/>
                <w:color w:val="1F497D" w:themeColor="text2"/>
              </w:rPr>
            </w:pPr>
          </w:p>
          <w:p w:rsidR="000B0E17" w:rsidRDefault="000B0E17" w:rsidP="00B9309C">
            <w:pPr>
              <w:pStyle w:val="a5"/>
              <w:jc w:val="center"/>
              <w:rPr>
                <w:rFonts w:ascii="Verdana" w:eastAsia="Times New Roman" w:hAnsi="Verdana"/>
                <w:color w:val="1F497D" w:themeColor="text2"/>
                <w:lang w:val="en-US"/>
              </w:rPr>
            </w:pPr>
          </w:p>
          <w:p w:rsidR="000B0E17" w:rsidRPr="000B0E17" w:rsidRDefault="000B0E17" w:rsidP="000B0E17">
            <w:pPr>
              <w:pStyle w:val="a5"/>
              <w:jc w:val="center"/>
              <w:rPr>
                <w:rFonts w:ascii="Verdana" w:eastAsia="Times New Roman" w:hAnsi="Verdana"/>
                <w:i/>
                <w:color w:val="1F497D" w:themeColor="text2"/>
                <w:sz w:val="24"/>
                <w:szCs w:val="24"/>
              </w:rPr>
            </w:pPr>
            <w:r w:rsidRPr="000B0E17">
              <w:rPr>
                <w:rFonts w:ascii="Verdana" w:eastAsia="Times New Roman" w:hAnsi="Verdana"/>
                <w:i/>
                <w:color w:val="1F497D" w:themeColor="text2"/>
                <w:sz w:val="24"/>
                <w:szCs w:val="24"/>
              </w:rPr>
              <w:t>Повышай квалификацию с библиотекой ПВГУС!</w:t>
            </w:r>
          </w:p>
          <w:p w:rsidR="000B0E17" w:rsidRPr="000B0E17" w:rsidRDefault="000B0E17" w:rsidP="00B9309C">
            <w:pPr>
              <w:pStyle w:val="a5"/>
              <w:jc w:val="center"/>
              <w:rPr>
                <w:rFonts w:ascii="Verdana" w:eastAsia="Times New Roman" w:hAnsi="Verdana"/>
                <w:color w:val="1F497D" w:themeColor="text2"/>
              </w:rPr>
            </w:pPr>
          </w:p>
          <w:p w:rsidR="00DC4D01" w:rsidRPr="00B9309C" w:rsidRDefault="00DC4D01" w:rsidP="00B9309C">
            <w:pPr>
              <w:pStyle w:val="a5"/>
              <w:jc w:val="center"/>
              <w:rPr>
                <w:color w:val="1F497D" w:themeColor="text2"/>
              </w:rPr>
            </w:pPr>
            <w:r w:rsidRPr="00B9309C">
              <w:rPr>
                <w:rFonts w:ascii="Verdana" w:eastAsia="Times New Roman" w:hAnsi="Verdana"/>
                <w:color w:val="1F497D" w:themeColor="text2"/>
              </w:rPr>
              <w:t>Составители: С.Р. Милихина, зав. отделом НБ; Н.Г. Самойленко, методист</w:t>
            </w:r>
          </w:p>
          <w:p w:rsidR="00B9309C" w:rsidRDefault="00B9309C" w:rsidP="00B9309C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DC4D01" w:rsidRPr="00DC4D01" w:rsidRDefault="00B9309C" w:rsidP="00B9309C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B9309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07</w:t>
            </w:r>
            <w:r w:rsidR="00DC4D01" w:rsidRPr="00B9309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.0</w:t>
            </w:r>
            <w:r w:rsidRPr="00B9309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</w:t>
            </w:r>
            <w:r w:rsidR="00DC4D01" w:rsidRPr="00B9309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.202</w:t>
            </w:r>
            <w:r w:rsidRPr="00B9309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1.</w:t>
            </w:r>
          </w:p>
        </w:tc>
      </w:tr>
    </w:tbl>
    <w:p w:rsidR="00F423F8" w:rsidRPr="00DC4D01" w:rsidRDefault="00F423F8">
      <w:pPr>
        <w:rPr>
          <w:rFonts w:ascii="Verdana" w:eastAsia="Times New Roman" w:hAnsi="Verdana"/>
          <w:color w:val="1F497D" w:themeColor="text2"/>
          <w:sz w:val="20"/>
          <w:szCs w:val="20"/>
        </w:rPr>
      </w:pPr>
    </w:p>
    <w:sectPr w:rsidR="00F423F8" w:rsidRPr="00DC4D01" w:rsidSect="009D6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47" w:rsidRDefault="009D6B47" w:rsidP="009D6B47">
      <w:r>
        <w:separator/>
      </w:r>
    </w:p>
  </w:endnote>
  <w:endnote w:type="continuationSeparator" w:id="0">
    <w:p w:rsidR="009D6B47" w:rsidRDefault="009D6B47" w:rsidP="009D6B47">
      <w:r>
        <w:continuationSeparator/>
      </w:r>
    </w:p>
  </w:endnote>
  <w:endnote w:id="1">
    <w:p w:rsidR="009D6B47" w:rsidRPr="00DC4D01" w:rsidRDefault="009D6B47" w:rsidP="009D6B47">
      <w:pPr>
        <w:pStyle w:val="a5"/>
        <w:rPr>
          <w:rFonts w:ascii="Verdana" w:hAnsi="Verdana"/>
          <w:color w:val="1F497D" w:themeColor="text2"/>
        </w:rPr>
      </w:pPr>
      <w:r w:rsidRPr="00DC4D01">
        <w:rPr>
          <w:rStyle w:val="a7"/>
          <w:rFonts w:ascii="Verdana" w:hAnsi="Verdana"/>
          <w:color w:val="1F497D" w:themeColor="text2"/>
        </w:rPr>
        <w:endnoteRef/>
      </w:r>
      <w:r w:rsidRPr="00DC4D01">
        <w:rPr>
          <w:rFonts w:ascii="Verdana" w:hAnsi="Verdana"/>
          <w:color w:val="1F497D" w:themeColor="text2"/>
        </w:rPr>
        <w:t xml:space="preserve"> Все издания доступны сотрудникам и студентам ПВГУС</w:t>
      </w:r>
    </w:p>
  </w:endnote>
  <w:endnote w:id="2">
    <w:p w:rsidR="009D6B47" w:rsidRPr="00DC4D01" w:rsidRDefault="009D6B47" w:rsidP="009D6B47">
      <w:pPr>
        <w:pStyle w:val="a5"/>
        <w:rPr>
          <w:rFonts w:ascii="Verdana" w:hAnsi="Verdana"/>
          <w:color w:val="1F497D" w:themeColor="text2"/>
        </w:rPr>
      </w:pPr>
      <w:r w:rsidRPr="00DC4D01">
        <w:rPr>
          <w:rStyle w:val="a7"/>
          <w:rFonts w:ascii="Verdana" w:hAnsi="Verdana"/>
          <w:color w:val="1F497D" w:themeColor="text2"/>
        </w:rPr>
        <w:endnoteRef/>
      </w:r>
      <w:r w:rsidRPr="00DC4D01">
        <w:rPr>
          <w:rFonts w:ascii="Verdana" w:hAnsi="Verdana"/>
          <w:color w:val="1F497D" w:themeColor="text2"/>
        </w:rPr>
        <w:t xml:space="preserve"> С новыми книгами, полученными библиотекой, можно ознакомиться на сайте университета по ссылке:  </w:t>
      </w:r>
      <w:hyperlink r:id="rId1" w:history="1">
        <w:r w:rsidRPr="00DC4D01">
          <w:rPr>
            <w:rStyle w:val="a3"/>
            <w:rFonts w:ascii="Verdana" w:hAnsi="Verdana"/>
            <w:color w:val="1F497D" w:themeColor="text2"/>
          </w:rPr>
          <w:t>http://www.tolgas.ru/org_structura/library/bilio_novinki/</w:t>
        </w:r>
      </w:hyperlink>
    </w:p>
  </w:endnote>
  <w:endnote w:id="3">
    <w:p w:rsidR="009D6B47" w:rsidRPr="00DC4D01" w:rsidRDefault="009D6B47">
      <w:pPr>
        <w:pStyle w:val="a5"/>
        <w:rPr>
          <w:rFonts w:ascii="Verdana" w:hAnsi="Verdana"/>
          <w:color w:val="1F497D" w:themeColor="text2"/>
        </w:rPr>
      </w:pPr>
      <w:r w:rsidRPr="00DC4D01">
        <w:rPr>
          <w:rStyle w:val="a7"/>
          <w:rFonts w:ascii="Verdana" w:hAnsi="Verdana"/>
          <w:color w:val="1F497D" w:themeColor="text2"/>
        </w:rPr>
        <w:endnoteRef/>
      </w:r>
      <w:r w:rsidRPr="00DC4D01">
        <w:rPr>
          <w:rFonts w:ascii="Verdana" w:hAnsi="Verdana"/>
          <w:color w:val="1F497D" w:themeColor="text2"/>
        </w:rPr>
        <w:t xml:space="preserve"> Журналы из фонда Научной библиотеки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47" w:rsidRDefault="009D6B47" w:rsidP="009D6B47">
      <w:r>
        <w:separator/>
      </w:r>
    </w:p>
  </w:footnote>
  <w:footnote w:type="continuationSeparator" w:id="0">
    <w:p w:rsidR="009D6B47" w:rsidRDefault="009D6B47" w:rsidP="009D6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B47"/>
    <w:rsid w:val="000B0E17"/>
    <w:rsid w:val="00110DFB"/>
    <w:rsid w:val="00165D65"/>
    <w:rsid w:val="001A39B2"/>
    <w:rsid w:val="002E1F37"/>
    <w:rsid w:val="004D7062"/>
    <w:rsid w:val="007F1668"/>
    <w:rsid w:val="008A3E62"/>
    <w:rsid w:val="009D6B47"/>
    <w:rsid w:val="00B9309C"/>
    <w:rsid w:val="00DC4D01"/>
    <w:rsid w:val="00F4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F8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D01"/>
    <w:pPr>
      <w:jc w:val="center"/>
      <w:outlineLvl w:val="0"/>
    </w:pPr>
    <w:rPr>
      <w:rFonts w:ascii="Verdana" w:eastAsia="Times New Roman" w:hAnsi="Verdana"/>
      <w:b/>
      <w:color w:val="1F497D" w:themeColor="text2"/>
    </w:rPr>
  </w:style>
  <w:style w:type="paragraph" w:styleId="2">
    <w:name w:val="heading 2"/>
    <w:basedOn w:val="a"/>
    <w:link w:val="20"/>
    <w:uiPriority w:val="9"/>
    <w:qFormat/>
    <w:rsid w:val="00F423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23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23F8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423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2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9D6B4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6B47"/>
    <w:rPr>
      <w:rFonts w:asciiTheme="minorHAnsi" w:eastAsiaTheme="minorHAnsi" w:hAnsiTheme="minorHAnsi" w:cstheme="minorBidi"/>
      <w:lang w:eastAsia="en-US"/>
    </w:rPr>
  </w:style>
  <w:style w:type="character" w:styleId="a7">
    <w:name w:val="endnote reference"/>
    <w:basedOn w:val="a0"/>
    <w:uiPriority w:val="99"/>
    <w:semiHidden/>
    <w:unhideWhenUsed/>
    <w:rsid w:val="009D6B4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4D01"/>
    <w:rPr>
      <w:rFonts w:ascii="Verdana" w:hAnsi="Verdana"/>
      <w:b/>
      <w:color w:val="1F497D" w:themeColor="text2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B9309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9309C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B9309C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B930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09C"/>
    <w:rPr>
      <w:rFonts w:ascii="Tahoma" w:eastAsiaTheme="minorEastAsia" w:hAnsi="Tahoma" w:cs="Tahoma"/>
      <w:color w:val="000088"/>
      <w:sz w:val="16"/>
      <w:szCs w:val="16"/>
    </w:rPr>
  </w:style>
  <w:style w:type="character" w:styleId="ab">
    <w:name w:val="Book Title"/>
    <w:basedOn w:val="a0"/>
    <w:uiPriority w:val="33"/>
    <w:qFormat/>
    <w:rsid w:val="008A3E6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67709" TargetMode="External"/><Relationship Id="rId13" Type="http://schemas.openxmlformats.org/officeDocument/2006/relationships/hyperlink" Target="https://znanium.com/read?id=3688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nanium.com/read?id=368805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j9VqXtg1c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rait.ru/viewer/monahinya-45672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znanium.com/read?id=3556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read?id=363733" TargetMode="External"/><Relationship Id="rId14" Type="http://schemas.openxmlformats.org/officeDocument/2006/relationships/hyperlink" Target="https://znanium.com/read?id=368907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gas.ru/org_structura/library/bilio_nov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BEDF9-BACF-4FDC-9B72-A70F5834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2044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Library</cp:lastModifiedBy>
  <cp:revision>9</cp:revision>
  <dcterms:created xsi:type="dcterms:W3CDTF">2021-04-07T08:45:00Z</dcterms:created>
  <dcterms:modified xsi:type="dcterms:W3CDTF">2021-04-12T06:04:00Z</dcterms:modified>
</cp:coreProperties>
</file>